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FA3F" w14:textId="77777777" w:rsidR="00641054" w:rsidRPr="00882976" w:rsidRDefault="009974F8"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E62E4F" w:rsidRDefault="00E62E4F" w:rsidP="0037393E">
                            <w:pPr>
                              <w:spacing w:after="0"/>
                              <w:ind w:right="-46"/>
                              <w:jc w:val="left"/>
                              <w:rPr>
                                <w:rFonts w:cs="Arial"/>
                                <w:b/>
                                <w:bCs/>
                                <w:sz w:val="52"/>
                                <w:szCs w:val="52"/>
                              </w:rPr>
                            </w:pPr>
                          </w:p>
                          <w:p w14:paraId="1CB123E5" w14:textId="77777777" w:rsidR="00E62E4F" w:rsidRDefault="00E62E4F" w:rsidP="0037393E">
                            <w:pPr>
                              <w:spacing w:after="0"/>
                              <w:ind w:right="-46"/>
                              <w:jc w:val="left"/>
                              <w:rPr>
                                <w:rFonts w:cs="Arial"/>
                                <w:b/>
                                <w:bCs/>
                                <w:sz w:val="52"/>
                                <w:szCs w:val="52"/>
                              </w:rPr>
                            </w:pPr>
                            <w:r>
                              <w:rPr>
                                <w:rFonts w:cs="Arial"/>
                                <w:b/>
                                <w:bCs/>
                                <w:sz w:val="52"/>
                                <w:szCs w:val="52"/>
                              </w:rPr>
                              <w:t>Money Matters</w:t>
                            </w:r>
                          </w:p>
                          <w:p w14:paraId="52BAB6F2" w14:textId="77777777" w:rsidR="00E62E4F" w:rsidRDefault="00E62E4F" w:rsidP="0037393E">
                            <w:pPr>
                              <w:spacing w:after="0"/>
                              <w:ind w:right="-46"/>
                              <w:jc w:val="left"/>
                              <w:rPr>
                                <w:rFonts w:cs="Arial"/>
                                <w:b/>
                                <w:bCs/>
                                <w:sz w:val="52"/>
                                <w:szCs w:val="52"/>
                              </w:rPr>
                            </w:pPr>
                            <w:r>
                              <w:rPr>
                                <w:rFonts w:cs="Arial"/>
                                <w:b/>
                                <w:bCs/>
                                <w:sz w:val="52"/>
                                <w:szCs w:val="52"/>
                              </w:rPr>
                              <w:t>Financial Outlook for the County Council</w:t>
                            </w:r>
                          </w:p>
                          <w:p w14:paraId="600948F0" w14:textId="6E37EF7D" w:rsidR="00E62E4F" w:rsidRPr="0037393E" w:rsidRDefault="00E62E4F" w:rsidP="0037393E">
                            <w:pPr>
                              <w:spacing w:after="0"/>
                              <w:ind w:right="-46"/>
                              <w:jc w:val="left"/>
                              <w:rPr>
                                <w:rFonts w:cs="Arial"/>
                                <w:b/>
                                <w:bCs/>
                                <w:sz w:val="52"/>
                                <w:szCs w:val="52"/>
                              </w:rPr>
                            </w:pPr>
                            <w:r>
                              <w:rPr>
                                <w:rFonts w:cs="Arial"/>
                                <w:b/>
                                <w:bCs/>
                                <w:sz w:val="52"/>
                                <w:szCs w:val="52"/>
                              </w:rPr>
                              <w:t>Medium Term Financial Strategy as at 31</w:t>
                            </w:r>
                            <w:r w:rsidRPr="006F5DD1">
                              <w:rPr>
                                <w:rFonts w:cs="Arial"/>
                                <w:b/>
                                <w:bCs/>
                                <w:sz w:val="52"/>
                                <w:szCs w:val="52"/>
                                <w:vertAlign w:val="superscript"/>
                              </w:rPr>
                              <w:t>st</w:t>
                            </w:r>
                            <w:r>
                              <w:rPr>
                                <w:rFonts w:cs="Arial"/>
                                <w:b/>
                                <w:bCs/>
                                <w:sz w:val="52"/>
                                <w:szCs w:val="52"/>
                              </w:rPr>
                              <w:t xml:space="preserve"> December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E62E4F" w:rsidRDefault="00E62E4F" w:rsidP="0037393E">
                      <w:pPr>
                        <w:spacing w:after="0"/>
                        <w:ind w:right="-46"/>
                        <w:jc w:val="left"/>
                        <w:rPr>
                          <w:rFonts w:cs="Arial"/>
                          <w:b/>
                          <w:bCs/>
                          <w:sz w:val="52"/>
                          <w:szCs w:val="52"/>
                        </w:rPr>
                      </w:pPr>
                    </w:p>
                    <w:p w14:paraId="1CB123E5" w14:textId="77777777" w:rsidR="00E62E4F" w:rsidRDefault="00E62E4F" w:rsidP="0037393E">
                      <w:pPr>
                        <w:spacing w:after="0"/>
                        <w:ind w:right="-46"/>
                        <w:jc w:val="left"/>
                        <w:rPr>
                          <w:rFonts w:cs="Arial"/>
                          <w:b/>
                          <w:bCs/>
                          <w:sz w:val="52"/>
                          <w:szCs w:val="52"/>
                        </w:rPr>
                      </w:pPr>
                      <w:r>
                        <w:rPr>
                          <w:rFonts w:cs="Arial"/>
                          <w:b/>
                          <w:bCs/>
                          <w:sz w:val="52"/>
                          <w:szCs w:val="52"/>
                        </w:rPr>
                        <w:t>Money Matters</w:t>
                      </w:r>
                    </w:p>
                    <w:p w14:paraId="52BAB6F2" w14:textId="77777777" w:rsidR="00E62E4F" w:rsidRDefault="00E62E4F" w:rsidP="0037393E">
                      <w:pPr>
                        <w:spacing w:after="0"/>
                        <w:ind w:right="-46"/>
                        <w:jc w:val="left"/>
                        <w:rPr>
                          <w:rFonts w:cs="Arial"/>
                          <w:b/>
                          <w:bCs/>
                          <w:sz w:val="52"/>
                          <w:szCs w:val="52"/>
                        </w:rPr>
                      </w:pPr>
                      <w:r>
                        <w:rPr>
                          <w:rFonts w:cs="Arial"/>
                          <w:b/>
                          <w:bCs/>
                          <w:sz w:val="52"/>
                          <w:szCs w:val="52"/>
                        </w:rPr>
                        <w:t>Financial Outlook for the County Council</w:t>
                      </w:r>
                    </w:p>
                    <w:p w14:paraId="600948F0" w14:textId="6E37EF7D" w:rsidR="00E62E4F" w:rsidRPr="0037393E" w:rsidRDefault="00E62E4F" w:rsidP="0037393E">
                      <w:pPr>
                        <w:spacing w:after="0"/>
                        <w:ind w:right="-46"/>
                        <w:jc w:val="left"/>
                        <w:rPr>
                          <w:rFonts w:cs="Arial"/>
                          <w:b/>
                          <w:bCs/>
                          <w:sz w:val="52"/>
                          <w:szCs w:val="52"/>
                        </w:rPr>
                      </w:pPr>
                      <w:r>
                        <w:rPr>
                          <w:rFonts w:cs="Arial"/>
                          <w:b/>
                          <w:bCs/>
                          <w:sz w:val="52"/>
                          <w:szCs w:val="52"/>
                        </w:rPr>
                        <w:t>Medium Term Financial Strategy as at 31</w:t>
                      </w:r>
                      <w:r w:rsidRPr="006F5DD1">
                        <w:rPr>
                          <w:rFonts w:cs="Arial"/>
                          <w:b/>
                          <w:bCs/>
                          <w:sz w:val="52"/>
                          <w:szCs w:val="52"/>
                          <w:vertAlign w:val="superscript"/>
                        </w:rPr>
                        <w:t>st</w:t>
                      </w:r>
                      <w:r>
                        <w:rPr>
                          <w:rFonts w:cs="Arial"/>
                          <w:b/>
                          <w:bCs/>
                          <w:sz w:val="52"/>
                          <w:szCs w:val="52"/>
                        </w:rPr>
                        <w:t xml:space="preserve"> December 2016</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150B9" w:rsidRPr="00882976" w14:paraId="44828FE1" w14:textId="77777777" w:rsidTr="008150B9">
        <w:trPr>
          <w:trHeight w:val="699"/>
        </w:trPr>
        <w:tc>
          <w:tcPr>
            <w:tcW w:w="562" w:type="dxa"/>
            <w:vAlign w:val="center"/>
          </w:tcPr>
          <w:p w14:paraId="03DB1889" w14:textId="77777777" w:rsidR="008150B9" w:rsidRPr="00882976" w:rsidRDefault="008150B9" w:rsidP="008150B9">
            <w:pPr>
              <w:spacing w:after="0"/>
              <w:ind w:right="-46"/>
              <w:jc w:val="center"/>
              <w:rPr>
                <w:rFonts w:cs="Arial"/>
                <w:b/>
                <w:bCs/>
              </w:rPr>
            </w:pPr>
          </w:p>
        </w:tc>
        <w:tc>
          <w:tcPr>
            <w:tcW w:w="5437" w:type="dxa"/>
            <w:vAlign w:val="center"/>
          </w:tcPr>
          <w:p w14:paraId="0748E47D" w14:textId="77777777" w:rsidR="008150B9" w:rsidRPr="00882976" w:rsidRDefault="008150B9" w:rsidP="008150B9">
            <w:pPr>
              <w:spacing w:after="0"/>
              <w:ind w:right="-46"/>
              <w:jc w:val="center"/>
              <w:rPr>
                <w:rFonts w:cs="Arial"/>
                <w:b/>
                <w:bCs/>
              </w:rPr>
            </w:pPr>
            <w:r w:rsidRPr="00882976">
              <w:rPr>
                <w:rFonts w:cs="Arial"/>
                <w:b/>
                <w:bCs/>
              </w:rPr>
              <w:t>Contents</w:t>
            </w:r>
          </w:p>
        </w:tc>
        <w:tc>
          <w:tcPr>
            <w:tcW w:w="3017" w:type="dxa"/>
            <w:vAlign w:val="center"/>
          </w:tcPr>
          <w:p w14:paraId="1272430A" w14:textId="77777777" w:rsidR="008150B9" w:rsidRPr="00882976" w:rsidRDefault="008150B9" w:rsidP="008150B9">
            <w:pPr>
              <w:spacing w:after="0"/>
              <w:ind w:right="-46"/>
              <w:jc w:val="center"/>
              <w:rPr>
                <w:rFonts w:cs="Arial"/>
                <w:b/>
                <w:bCs/>
              </w:rPr>
            </w:pPr>
            <w:r w:rsidRPr="00882976">
              <w:rPr>
                <w:rFonts w:cs="Arial"/>
                <w:b/>
                <w:bCs/>
              </w:rPr>
              <w:t>Page</w:t>
            </w:r>
          </w:p>
        </w:tc>
      </w:tr>
      <w:tr w:rsidR="008150B9" w:rsidRPr="00882976" w14:paraId="029310E1" w14:textId="77777777" w:rsidTr="008150B9">
        <w:tc>
          <w:tcPr>
            <w:tcW w:w="562" w:type="dxa"/>
            <w:vAlign w:val="center"/>
          </w:tcPr>
          <w:p w14:paraId="5FD67BE2" w14:textId="77777777" w:rsidR="008150B9" w:rsidRPr="00882976" w:rsidRDefault="008150B9" w:rsidP="008150B9">
            <w:pPr>
              <w:spacing w:after="0"/>
              <w:ind w:right="-46"/>
              <w:jc w:val="center"/>
              <w:rPr>
                <w:rFonts w:cs="Arial"/>
                <w:b/>
                <w:bCs/>
              </w:rPr>
            </w:pPr>
            <w:r w:rsidRPr="00882976">
              <w:rPr>
                <w:rFonts w:cs="Arial"/>
                <w:b/>
                <w:bCs/>
              </w:rPr>
              <w:t>1</w:t>
            </w:r>
          </w:p>
        </w:tc>
        <w:tc>
          <w:tcPr>
            <w:tcW w:w="5437" w:type="dxa"/>
            <w:vAlign w:val="center"/>
          </w:tcPr>
          <w:p w14:paraId="425B8270" w14:textId="77777777" w:rsidR="000A747F" w:rsidRPr="00882976" w:rsidRDefault="000A747F" w:rsidP="003D58F1">
            <w:pPr>
              <w:spacing w:after="0"/>
              <w:ind w:right="-46"/>
              <w:rPr>
                <w:rFonts w:cs="Arial"/>
                <w:b/>
                <w:bCs/>
              </w:rPr>
            </w:pPr>
          </w:p>
          <w:p w14:paraId="4BA7EDC2" w14:textId="77777777" w:rsidR="008150B9" w:rsidRPr="00882976" w:rsidRDefault="008150B9" w:rsidP="003D58F1">
            <w:pPr>
              <w:spacing w:after="0"/>
              <w:ind w:right="-46"/>
              <w:rPr>
                <w:rFonts w:cs="Arial"/>
                <w:b/>
                <w:bCs/>
              </w:rPr>
            </w:pPr>
            <w:r w:rsidRPr="00882976">
              <w:rPr>
                <w:rFonts w:cs="Arial"/>
                <w:b/>
                <w:bCs/>
              </w:rPr>
              <w:t>Executive Summary</w:t>
            </w:r>
          </w:p>
          <w:p w14:paraId="04591AF9" w14:textId="77777777" w:rsidR="000A747F" w:rsidRPr="00882976" w:rsidRDefault="000A747F" w:rsidP="003D58F1">
            <w:pPr>
              <w:spacing w:after="0"/>
              <w:ind w:right="-46"/>
              <w:rPr>
                <w:rFonts w:cs="Arial"/>
                <w:b/>
                <w:bCs/>
              </w:rPr>
            </w:pPr>
          </w:p>
        </w:tc>
        <w:tc>
          <w:tcPr>
            <w:tcW w:w="3017" w:type="dxa"/>
            <w:vAlign w:val="center"/>
          </w:tcPr>
          <w:p w14:paraId="696C80B8" w14:textId="67A2CA20" w:rsidR="008150B9" w:rsidRPr="00882976" w:rsidRDefault="00B16B94" w:rsidP="000A747F">
            <w:pPr>
              <w:spacing w:after="0"/>
              <w:ind w:right="-46"/>
              <w:jc w:val="center"/>
              <w:rPr>
                <w:rFonts w:cs="Arial"/>
                <w:b/>
                <w:bCs/>
              </w:rPr>
            </w:pPr>
            <w:r>
              <w:rPr>
                <w:rFonts w:cs="Arial"/>
                <w:b/>
                <w:bCs/>
              </w:rPr>
              <w:t>3</w:t>
            </w:r>
          </w:p>
        </w:tc>
      </w:tr>
      <w:tr w:rsidR="008150B9" w:rsidRPr="00882976" w14:paraId="64100E30" w14:textId="77777777" w:rsidTr="008150B9">
        <w:tc>
          <w:tcPr>
            <w:tcW w:w="562" w:type="dxa"/>
            <w:vAlign w:val="center"/>
          </w:tcPr>
          <w:p w14:paraId="5EFB28C8" w14:textId="77777777" w:rsidR="008150B9" w:rsidRPr="00882976" w:rsidRDefault="008150B9" w:rsidP="008150B9">
            <w:pPr>
              <w:spacing w:after="0"/>
              <w:ind w:right="-46"/>
              <w:jc w:val="center"/>
              <w:rPr>
                <w:rFonts w:cs="Arial"/>
                <w:b/>
                <w:bCs/>
              </w:rPr>
            </w:pPr>
            <w:r w:rsidRPr="00882976">
              <w:rPr>
                <w:rFonts w:cs="Arial"/>
                <w:b/>
                <w:bCs/>
              </w:rPr>
              <w:t>2</w:t>
            </w:r>
          </w:p>
        </w:tc>
        <w:tc>
          <w:tcPr>
            <w:tcW w:w="5437" w:type="dxa"/>
            <w:vAlign w:val="center"/>
          </w:tcPr>
          <w:p w14:paraId="64585E78" w14:textId="77777777" w:rsidR="000A747F" w:rsidRPr="00882976" w:rsidRDefault="000A747F" w:rsidP="003D58F1">
            <w:pPr>
              <w:spacing w:after="0"/>
              <w:ind w:right="-46"/>
              <w:rPr>
                <w:rFonts w:cs="Arial"/>
                <w:b/>
                <w:bCs/>
              </w:rPr>
            </w:pPr>
          </w:p>
          <w:p w14:paraId="2D2CFBF5" w14:textId="77777777" w:rsidR="008150B9" w:rsidRPr="00882976" w:rsidRDefault="008150B9" w:rsidP="003D58F1">
            <w:pPr>
              <w:spacing w:after="0"/>
              <w:ind w:right="-46"/>
              <w:rPr>
                <w:rFonts w:cs="Arial"/>
                <w:b/>
                <w:bCs/>
              </w:rPr>
            </w:pPr>
            <w:r w:rsidRPr="00882976">
              <w:rPr>
                <w:rFonts w:cs="Arial"/>
                <w:b/>
                <w:bCs/>
              </w:rPr>
              <w:t>Resources</w:t>
            </w:r>
          </w:p>
          <w:p w14:paraId="31CAC218" w14:textId="77777777" w:rsidR="000A747F" w:rsidRPr="00882976" w:rsidRDefault="000A747F" w:rsidP="003D58F1">
            <w:pPr>
              <w:spacing w:after="0"/>
              <w:ind w:right="-46"/>
              <w:rPr>
                <w:rFonts w:cs="Arial"/>
                <w:b/>
                <w:bCs/>
              </w:rPr>
            </w:pPr>
          </w:p>
        </w:tc>
        <w:tc>
          <w:tcPr>
            <w:tcW w:w="3017" w:type="dxa"/>
            <w:vAlign w:val="center"/>
          </w:tcPr>
          <w:p w14:paraId="4A84CF43" w14:textId="4B99D432" w:rsidR="008150B9" w:rsidRPr="00882976" w:rsidRDefault="00CD5C1D" w:rsidP="000A747F">
            <w:pPr>
              <w:spacing w:after="0"/>
              <w:ind w:right="-46"/>
              <w:jc w:val="center"/>
              <w:rPr>
                <w:rFonts w:cs="Arial"/>
                <w:b/>
                <w:bCs/>
              </w:rPr>
            </w:pPr>
            <w:r>
              <w:rPr>
                <w:rFonts w:cs="Arial"/>
                <w:b/>
                <w:bCs/>
              </w:rPr>
              <w:t>7</w:t>
            </w:r>
          </w:p>
        </w:tc>
      </w:tr>
      <w:tr w:rsidR="008150B9" w:rsidRPr="00882976" w14:paraId="0566995B" w14:textId="77777777" w:rsidTr="008150B9">
        <w:tc>
          <w:tcPr>
            <w:tcW w:w="562" w:type="dxa"/>
            <w:vAlign w:val="center"/>
          </w:tcPr>
          <w:p w14:paraId="56FD20E7" w14:textId="77777777" w:rsidR="008150B9" w:rsidRPr="00882976" w:rsidRDefault="008150B9" w:rsidP="008150B9">
            <w:pPr>
              <w:spacing w:after="0"/>
              <w:ind w:right="-46"/>
              <w:jc w:val="center"/>
              <w:rPr>
                <w:rFonts w:cs="Arial"/>
                <w:b/>
                <w:bCs/>
              </w:rPr>
            </w:pPr>
            <w:r w:rsidRPr="00882976">
              <w:rPr>
                <w:rFonts w:cs="Arial"/>
                <w:b/>
                <w:bCs/>
              </w:rPr>
              <w:t>3</w:t>
            </w:r>
          </w:p>
        </w:tc>
        <w:tc>
          <w:tcPr>
            <w:tcW w:w="5437" w:type="dxa"/>
            <w:vAlign w:val="center"/>
          </w:tcPr>
          <w:p w14:paraId="47E4131C" w14:textId="77777777" w:rsidR="000A747F" w:rsidRPr="00882976" w:rsidRDefault="000A747F" w:rsidP="003D58F1">
            <w:pPr>
              <w:spacing w:after="0"/>
              <w:ind w:right="-46"/>
              <w:rPr>
                <w:rFonts w:cs="Arial"/>
                <w:b/>
                <w:bCs/>
              </w:rPr>
            </w:pPr>
          </w:p>
          <w:p w14:paraId="13BE072B" w14:textId="77777777" w:rsidR="008150B9" w:rsidRPr="00882976" w:rsidRDefault="00E7457D" w:rsidP="003D58F1">
            <w:pPr>
              <w:spacing w:after="0"/>
              <w:ind w:right="-46"/>
              <w:rPr>
                <w:rFonts w:cs="Arial"/>
                <w:b/>
                <w:bCs/>
              </w:rPr>
            </w:pPr>
            <w:r w:rsidRPr="00882976">
              <w:rPr>
                <w:rFonts w:cs="Arial"/>
                <w:b/>
                <w:bCs/>
              </w:rPr>
              <w:t>Net Spending Pressures</w:t>
            </w:r>
          </w:p>
          <w:p w14:paraId="7C25C8F8" w14:textId="77777777" w:rsidR="000A747F" w:rsidRPr="00882976" w:rsidRDefault="000A747F" w:rsidP="003D58F1">
            <w:pPr>
              <w:spacing w:after="0"/>
              <w:ind w:right="-46"/>
              <w:rPr>
                <w:rFonts w:cs="Arial"/>
                <w:b/>
                <w:bCs/>
              </w:rPr>
            </w:pPr>
          </w:p>
        </w:tc>
        <w:tc>
          <w:tcPr>
            <w:tcW w:w="3017" w:type="dxa"/>
            <w:vAlign w:val="center"/>
          </w:tcPr>
          <w:p w14:paraId="509BD5D1" w14:textId="11E02C1D" w:rsidR="008150B9" w:rsidRPr="00882976" w:rsidRDefault="00CD5C1D" w:rsidP="000A747F">
            <w:pPr>
              <w:spacing w:after="0"/>
              <w:ind w:right="-46"/>
              <w:jc w:val="center"/>
              <w:rPr>
                <w:rFonts w:cs="Arial"/>
                <w:b/>
                <w:bCs/>
              </w:rPr>
            </w:pPr>
            <w:r>
              <w:rPr>
                <w:rFonts w:cs="Arial"/>
                <w:b/>
                <w:bCs/>
              </w:rPr>
              <w:t>15</w:t>
            </w:r>
          </w:p>
        </w:tc>
      </w:tr>
      <w:tr w:rsidR="00E7457D" w:rsidRPr="00882976" w14:paraId="201A99B6" w14:textId="77777777" w:rsidTr="008150B9">
        <w:tc>
          <w:tcPr>
            <w:tcW w:w="562" w:type="dxa"/>
            <w:vAlign w:val="center"/>
          </w:tcPr>
          <w:p w14:paraId="4C15F726" w14:textId="77777777" w:rsidR="00E7457D" w:rsidRPr="00882976" w:rsidRDefault="00E7457D" w:rsidP="008150B9">
            <w:pPr>
              <w:spacing w:after="0"/>
              <w:ind w:right="-46"/>
              <w:jc w:val="center"/>
              <w:rPr>
                <w:rFonts w:cs="Arial"/>
                <w:b/>
                <w:bCs/>
              </w:rPr>
            </w:pPr>
            <w:r w:rsidRPr="00882976">
              <w:rPr>
                <w:rFonts w:cs="Arial"/>
                <w:b/>
                <w:bCs/>
              </w:rPr>
              <w:t>4</w:t>
            </w:r>
          </w:p>
        </w:tc>
        <w:tc>
          <w:tcPr>
            <w:tcW w:w="5437" w:type="dxa"/>
            <w:vAlign w:val="center"/>
          </w:tcPr>
          <w:p w14:paraId="01B74466" w14:textId="77777777" w:rsidR="000A747F" w:rsidRPr="00882976" w:rsidRDefault="000A747F" w:rsidP="000A747F">
            <w:pPr>
              <w:spacing w:after="0"/>
              <w:ind w:right="-46"/>
              <w:rPr>
                <w:rFonts w:cs="Arial"/>
                <w:b/>
                <w:bCs/>
              </w:rPr>
            </w:pPr>
          </w:p>
          <w:p w14:paraId="6EC7BD7E" w14:textId="77777777" w:rsidR="000A747F" w:rsidRPr="00882976" w:rsidRDefault="000A747F" w:rsidP="000A747F">
            <w:pPr>
              <w:spacing w:after="0"/>
              <w:ind w:right="-46"/>
              <w:rPr>
                <w:rFonts w:cs="Arial"/>
                <w:b/>
                <w:bCs/>
              </w:rPr>
            </w:pPr>
            <w:r w:rsidRPr="00882976">
              <w:rPr>
                <w:rFonts w:cs="Arial"/>
                <w:b/>
                <w:bCs/>
              </w:rPr>
              <w:t>Future Risks</w:t>
            </w:r>
          </w:p>
          <w:p w14:paraId="7FBD6CB4" w14:textId="77777777" w:rsidR="000A747F" w:rsidRPr="00882976" w:rsidRDefault="000A747F" w:rsidP="000A747F">
            <w:pPr>
              <w:spacing w:after="0"/>
              <w:ind w:right="-46"/>
              <w:rPr>
                <w:rFonts w:cs="Arial"/>
                <w:b/>
                <w:bCs/>
              </w:rPr>
            </w:pPr>
          </w:p>
        </w:tc>
        <w:tc>
          <w:tcPr>
            <w:tcW w:w="3017" w:type="dxa"/>
            <w:vAlign w:val="center"/>
          </w:tcPr>
          <w:p w14:paraId="210035BF" w14:textId="562EC521" w:rsidR="00E7457D" w:rsidRPr="00882976" w:rsidRDefault="00CD5C1D" w:rsidP="000A747F">
            <w:pPr>
              <w:spacing w:after="0"/>
              <w:ind w:right="-46"/>
              <w:jc w:val="center"/>
              <w:rPr>
                <w:rFonts w:cs="Arial"/>
                <w:b/>
                <w:bCs/>
              </w:rPr>
            </w:pPr>
            <w:r>
              <w:rPr>
                <w:rFonts w:cs="Arial"/>
                <w:b/>
                <w:bCs/>
              </w:rPr>
              <w:t>19</w:t>
            </w:r>
          </w:p>
        </w:tc>
      </w:tr>
    </w:tbl>
    <w:p w14:paraId="37878CDF" w14:textId="77777777" w:rsidR="0037393E" w:rsidRPr="00882976" w:rsidRDefault="0037393E" w:rsidP="003D58F1">
      <w:pPr>
        <w:spacing w:after="0"/>
        <w:ind w:right="-46"/>
        <w:rPr>
          <w:rFonts w:cs="Arial"/>
          <w:b/>
          <w:bCs/>
        </w:rPr>
      </w:pPr>
    </w:p>
    <w:p w14:paraId="663411DD" w14:textId="77777777" w:rsidR="008150B9" w:rsidRPr="00882976" w:rsidRDefault="008150B9">
      <w:pPr>
        <w:autoSpaceDE/>
        <w:autoSpaceDN/>
        <w:adjustRightInd/>
        <w:spacing w:after="0"/>
        <w:jc w:val="left"/>
        <w:rPr>
          <w:rFonts w:cs="Arial"/>
          <w:b/>
        </w:rPr>
      </w:pPr>
      <w:r w:rsidRPr="00882976">
        <w:rPr>
          <w:rFonts w:cs="Arial"/>
          <w:b/>
        </w:rPr>
        <w:br w:type="page"/>
      </w:r>
    </w:p>
    <w:p w14:paraId="769E36BB" w14:textId="77777777" w:rsidR="00932C3B" w:rsidRPr="00882976" w:rsidRDefault="00932C3B" w:rsidP="008D5D96">
      <w:pPr>
        <w:pBdr>
          <w:bottom w:val="single" w:sz="4" w:space="1" w:color="auto"/>
        </w:pBdr>
        <w:tabs>
          <w:tab w:val="left" w:pos="567"/>
          <w:tab w:val="left" w:pos="1134"/>
        </w:tabs>
        <w:spacing w:after="0"/>
        <w:rPr>
          <w:rFonts w:cs="Arial"/>
          <w:b/>
        </w:rPr>
      </w:pPr>
      <w:r w:rsidRPr="00882976">
        <w:rPr>
          <w:rFonts w:cs="Arial"/>
          <w:b/>
        </w:rPr>
        <w:lastRenderedPageBreak/>
        <w:t>Financial Outlook for the County Council: Medium Term Financial Strategy</w:t>
      </w:r>
    </w:p>
    <w:p w14:paraId="2EA68FE8" w14:textId="77777777" w:rsidR="00932C3B" w:rsidRPr="00882976" w:rsidRDefault="00932C3B" w:rsidP="008D5D96">
      <w:pPr>
        <w:tabs>
          <w:tab w:val="left" w:pos="567"/>
          <w:tab w:val="left" w:pos="1134"/>
        </w:tabs>
        <w:spacing w:after="0"/>
        <w:rPr>
          <w:rFonts w:cs="Arial"/>
        </w:rPr>
      </w:pPr>
    </w:p>
    <w:p w14:paraId="46EB8761" w14:textId="77777777" w:rsidR="008321DE" w:rsidRPr="00882976" w:rsidRDefault="008321DE" w:rsidP="00C029F0">
      <w:pPr>
        <w:pStyle w:val="ListParagraph"/>
        <w:numPr>
          <w:ilvl w:val="0"/>
          <w:numId w:val="25"/>
        </w:numPr>
        <w:spacing w:after="0"/>
        <w:ind w:left="567" w:hanging="567"/>
        <w:rPr>
          <w:rFonts w:cs="Arial"/>
          <w:b/>
        </w:rPr>
      </w:pPr>
      <w:r w:rsidRPr="00882976">
        <w:rPr>
          <w:rFonts w:cs="Arial"/>
          <w:b/>
        </w:rPr>
        <w:t>Executive Summary</w:t>
      </w:r>
    </w:p>
    <w:p w14:paraId="54B574BF" w14:textId="77777777" w:rsidR="008321DE" w:rsidRPr="00882976" w:rsidRDefault="008321DE" w:rsidP="008D5D96">
      <w:pPr>
        <w:tabs>
          <w:tab w:val="left" w:pos="567"/>
          <w:tab w:val="left" w:pos="1134"/>
        </w:tabs>
        <w:spacing w:after="0"/>
        <w:rPr>
          <w:rFonts w:cs="Arial"/>
          <w:b/>
        </w:rPr>
      </w:pPr>
    </w:p>
    <w:p w14:paraId="25F38ED9" w14:textId="2F5D6F3E" w:rsidR="003D58F1" w:rsidRPr="00882976" w:rsidRDefault="006E0BEE" w:rsidP="008D5D96">
      <w:pPr>
        <w:tabs>
          <w:tab w:val="left" w:pos="567"/>
          <w:tab w:val="left" w:pos="1134"/>
        </w:tabs>
        <w:spacing w:after="0"/>
        <w:rPr>
          <w:rFonts w:cs="Arial"/>
          <w:b/>
        </w:rPr>
      </w:pPr>
      <w:r w:rsidRPr="00882976">
        <w:rPr>
          <w:rFonts w:cs="Arial"/>
          <w:b/>
        </w:rPr>
        <w:t xml:space="preserve">1.1 </w:t>
      </w:r>
      <w:r w:rsidR="0016463C">
        <w:rPr>
          <w:rFonts w:cs="Arial"/>
          <w:b/>
        </w:rPr>
        <w:t>Introduction</w:t>
      </w:r>
    </w:p>
    <w:p w14:paraId="0BBBE40A" w14:textId="3B5CB773" w:rsidR="001A3073" w:rsidRPr="00882976" w:rsidRDefault="00697D1D" w:rsidP="008D5D96">
      <w:pPr>
        <w:tabs>
          <w:tab w:val="left" w:pos="567"/>
          <w:tab w:val="left" w:pos="1134"/>
        </w:tabs>
        <w:spacing w:after="0"/>
        <w:rPr>
          <w:rFonts w:cs="Arial"/>
        </w:rPr>
      </w:pPr>
      <w:r w:rsidRPr="00882976">
        <w:rPr>
          <w:rFonts w:cs="Arial"/>
        </w:rPr>
        <w:t>This report</w:t>
      </w:r>
      <w:r w:rsidR="00FC2484" w:rsidRPr="00882976">
        <w:rPr>
          <w:rFonts w:cs="Arial"/>
        </w:rPr>
        <w:t xml:space="preserve"> outlines the </w:t>
      </w:r>
      <w:r w:rsidRPr="00882976">
        <w:rPr>
          <w:rFonts w:cs="Arial"/>
        </w:rPr>
        <w:t>financial position facing Lancashire Cou</w:t>
      </w:r>
      <w:r w:rsidR="005E0399" w:rsidRPr="00882976">
        <w:rPr>
          <w:rFonts w:cs="Arial"/>
        </w:rPr>
        <w:t>nty Council over the period 2017/18</w:t>
      </w:r>
      <w:r w:rsidRPr="00882976">
        <w:rPr>
          <w:rFonts w:cs="Arial"/>
        </w:rPr>
        <w:t xml:space="preserve"> to 2020/21. </w:t>
      </w:r>
      <w:r w:rsidR="000C5639" w:rsidRPr="00882976">
        <w:rPr>
          <w:rFonts w:cs="Arial"/>
        </w:rPr>
        <w:t xml:space="preserve">The </w:t>
      </w:r>
      <w:r w:rsidR="005C4C7C" w:rsidRPr="00882976">
        <w:rPr>
          <w:rFonts w:cs="Arial"/>
        </w:rPr>
        <w:t xml:space="preserve">County </w:t>
      </w:r>
      <w:r w:rsidR="000C5639" w:rsidRPr="00882976">
        <w:rPr>
          <w:rFonts w:cs="Arial"/>
        </w:rPr>
        <w:t xml:space="preserve">Council is experiencing an ongoing period of unprecedented financial pressure as a result of the </w:t>
      </w:r>
      <w:r w:rsidR="00B72437" w:rsidRPr="00882976">
        <w:rPr>
          <w:rFonts w:cs="Arial"/>
        </w:rPr>
        <w:t>G</w:t>
      </w:r>
      <w:r w:rsidR="000C5639" w:rsidRPr="00882976">
        <w:rPr>
          <w:rFonts w:cs="Arial"/>
        </w:rPr>
        <w:t>overnment's extended programme of austerity combined with significant increases in demand for public services.</w:t>
      </w:r>
      <w:r w:rsidRPr="00882976">
        <w:rPr>
          <w:rFonts w:cs="Arial"/>
        </w:rPr>
        <w:t xml:space="preserve"> </w:t>
      </w:r>
    </w:p>
    <w:p w14:paraId="422818DE" w14:textId="77777777" w:rsidR="001A3073" w:rsidRPr="00882976" w:rsidRDefault="001A3073" w:rsidP="008D5D96">
      <w:pPr>
        <w:tabs>
          <w:tab w:val="left" w:pos="567"/>
          <w:tab w:val="left" w:pos="1134"/>
        </w:tabs>
        <w:spacing w:after="0"/>
        <w:rPr>
          <w:rFonts w:cs="Arial"/>
        </w:rPr>
      </w:pPr>
    </w:p>
    <w:p w14:paraId="174ED032" w14:textId="11112358" w:rsidR="00333713" w:rsidRPr="00882976" w:rsidRDefault="00FC2484" w:rsidP="003D09D8">
      <w:pPr>
        <w:tabs>
          <w:tab w:val="left" w:pos="567"/>
          <w:tab w:val="left" w:pos="1134"/>
        </w:tabs>
        <w:spacing w:after="0"/>
        <w:rPr>
          <w:rFonts w:cs="Arial"/>
        </w:rPr>
      </w:pPr>
      <w:r w:rsidRPr="00882976">
        <w:rPr>
          <w:rFonts w:cs="Arial"/>
        </w:rPr>
        <w:t xml:space="preserve">In </w:t>
      </w:r>
      <w:r w:rsidR="00D02E27">
        <w:rPr>
          <w:rFonts w:cs="Arial"/>
        </w:rPr>
        <w:t>December</w:t>
      </w:r>
      <w:r w:rsidRPr="00882976">
        <w:rPr>
          <w:rFonts w:cs="Arial"/>
        </w:rPr>
        <w:t xml:space="preserve"> 2016 Cabinet received a report outlining the lates</w:t>
      </w:r>
      <w:r w:rsidR="006A17BD" w:rsidRPr="00882976">
        <w:rPr>
          <w:rFonts w:cs="Arial"/>
        </w:rPr>
        <w:t>t financial position facing Lancashire Council which covered the period 2017/18 – 2020/21 and estimated an estimated in year funding gap of £14</w:t>
      </w:r>
      <w:r w:rsidR="00D02E27">
        <w:rPr>
          <w:rFonts w:cs="Arial"/>
        </w:rPr>
        <w:t>6.133</w:t>
      </w:r>
      <w:r w:rsidR="006A17BD" w:rsidRPr="00882976">
        <w:rPr>
          <w:rFonts w:cs="Arial"/>
        </w:rPr>
        <w:t xml:space="preserve">m by the end of the 4 year period. The Council </w:t>
      </w:r>
      <w:r w:rsidR="003C40E6" w:rsidRPr="00882976">
        <w:rPr>
          <w:rFonts w:cs="Arial"/>
        </w:rPr>
        <w:t>being</w:t>
      </w:r>
      <w:r w:rsidR="006A17BD" w:rsidRPr="00882976">
        <w:rPr>
          <w:rFonts w:cs="Arial"/>
        </w:rPr>
        <w:t xml:space="preserve"> forecast to have a cumulative deficit of £</w:t>
      </w:r>
      <w:r w:rsidR="00D02E27">
        <w:rPr>
          <w:rFonts w:cs="Arial"/>
        </w:rPr>
        <w:t>411.209</w:t>
      </w:r>
      <w:r w:rsidR="006A17BD" w:rsidRPr="00882976">
        <w:rPr>
          <w:rFonts w:cs="Arial"/>
        </w:rPr>
        <w:t xml:space="preserve">m by the end of 2020/21. </w:t>
      </w:r>
    </w:p>
    <w:p w14:paraId="1B2551AF" w14:textId="77777777" w:rsidR="00FD51C5" w:rsidRPr="00882976" w:rsidRDefault="00FD51C5" w:rsidP="003D09D8">
      <w:pPr>
        <w:tabs>
          <w:tab w:val="left" w:pos="567"/>
          <w:tab w:val="left" w:pos="1134"/>
        </w:tabs>
        <w:spacing w:after="0"/>
        <w:rPr>
          <w:rFonts w:cs="Arial"/>
        </w:rPr>
      </w:pPr>
    </w:p>
    <w:p w14:paraId="0A9D205B" w14:textId="311D4D35" w:rsidR="00FD51C5" w:rsidRPr="00882976" w:rsidRDefault="00FD51C5" w:rsidP="003D09D8">
      <w:pPr>
        <w:tabs>
          <w:tab w:val="left" w:pos="567"/>
          <w:tab w:val="left" w:pos="1134"/>
        </w:tabs>
        <w:spacing w:after="0"/>
        <w:rPr>
          <w:rFonts w:cs="Arial"/>
        </w:rPr>
      </w:pPr>
      <w:r w:rsidRPr="000740AB">
        <w:rPr>
          <w:rFonts w:cs="Arial"/>
        </w:rPr>
        <w:t xml:space="preserve">This report </w:t>
      </w:r>
      <w:r w:rsidR="003C40E6" w:rsidRPr="000740AB">
        <w:rPr>
          <w:rFonts w:cs="Arial"/>
        </w:rPr>
        <w:t xml:space="preserve">provides an updated position following a review of the </w:t>
      </w:r>
      <w:r w:rsidR="00CD3CC1" w:rsidRPr="000740AB">
        <w:rPr>
          <w:rFonts w:cs="Arial"/>
        </w:rPr>
        <w:t>existing assumptions</w:t>
      </w:r>
      <w:r w:rsidRPr="000740AB">
        <w:rPr>
          <w:rFonts w:cs="Arial"/>
        </w:rPr>
        <w:t xml:space="preserve"> </w:t>
      </w:r>
      <w:r w:rsidR="003C40E6" w:rsidRPr="000740AB">
        <w:rPr>
          <w:rFonts w:cs="Arial"/>
        </w:rPr>
        <w:t xml:space="preserve">to reflect the </w:t>
      </w:r>
      <w:r w:rsidRPr="000740AB">
        <w:rPr>
          <w:rFonts w:cs="Arial"/>
        </w:rPr>
        <w:t xml:space="preserve">most current information available. As a result of these reviews the funding gap has </w:t>
      </w:r>
      <w:r w:rsidR="00990E77" w:rsidRPr="000740AB">
        <w:rPr>
          <w:rFonts w:cs="Arial"/>
        </w:rPr>
        <w:t>increased</w:t>
      </w:r>
      <w:r w:rsidRPr="000740AB">
        <w:rPr>
          <w:rFonts w:cs="Arial"/>
        </w:rPr>
        <w:t xml:space="preserve"> to £</w:t>
      </w:r>
      <w:r w:rsidR="00990E77" w:rsidRPr="000740AB">
        <w:rPr>
          <w:rFonts w:cs="Arial"/>
        </w:rPr>
        <w:t>15</w:t>
      </w:r>
      <w:r w:rsidR="00925BB5" w:rsidRPr="000740AB">
        <w:rPr>
          <w:rFonts w:cs="Arial"/>
        </w:rPr>
        <w:t>3.</w:t>
      </w:r>
      <w:r w:rsidR="00453799" w:rsidRPr="000740AB">
        <w:rPr>
          <w:rFonts w:cs="Arial"/>
        </w:rPr>
        <w:t>3</w:t>
      </w:r>
      <w:r w:rsidR="000B4488">
        <w:rPr>
          <w:rFonts w:cs="Arial"/>
        </w:rPr>
        <w:t>89</w:t>
      </w:r>
      <w:r w:rsidR="00453799" w:rsidRPr="000740AB">
        <w:rPr>
          <w:rFonts w:cs="Arial"/>
        </w:rPr>
        <w:t>m</w:t>
      </w:r>
      <w:r w:rsidR="005F563D" w:rsidRPr="000740AB">
        <w:rPr>
          <w:rFonts w:cs="Arial"/>
        </w:rPr>
        <w:t xml:space="preserve">, however the cumulative gap has </w:t>
      </w:r>
      <w:r w:rsidR="00990E77" w:rsidRPr="000740AB">
        <w:rPr>
          <w:rFonts w:cs="Arial"/>
        </w:rPr>
        <w:t xml:space="preserve">however decreased </w:t>
      </w:r>
      <w:r w:rsidR="009D4688" w:rsidRPr="000740AB">
        <w:rPr>
          <w:rFonts w:cs="Arial"/>
        </w:rPr>
        <w:t>to £</w:t>
      </w:r>
      <w:r w:rsidR="00453799" w:rsidRPr="000740AB">
        <w:rPr>
          <w:rFonts w:cs="Arial"/>
        </w:rPr>
        <w:t>407.9</w:t>
      </w:r>
      <w:r w:rsidR="000B4488">
        <w:rPr>
          <w:rFonts w:cs="Arial"/>
        </w:rPr>
        <w:t>88</w:t>
      </w:r>
      <w:r w:rsidR="005F563D" w:rsidRPr="000740AB">
        <w:rPr>
          <w:rFonts w:cs="Arial"/>
        </w:rPr>
        <w:t xml:space="preserve">m as a result of a </w:t>
      </w:r>
      <w:r w:rsidR="00990E77" w:rsidRPr="000740AB">
        <w:rPr>
          <w:rFonts w:cs="Arial"/>
        </w:rPr>
        <w:t>reduced</w:t>
      </w:r>
      <w:r w:rsidR="005F563D" w:rsidRPr="000740AB">
        <w:rPr>
          <w:rFonts w:cs="Arial"/>
        </w:rPr>
        <w:t xml:space="preserve"> gap in earlier years</w:t>
      </w:r>
      <w:r w:rsidRPr="000740AB">
        <w:rPr>
          <w:rFonts w:cs="Arial"/>
        </w:rPr>
        <w:t>.</w:t>
      </w:r>
      <w:r w:rsidR="004F5A89">
        <w:rPr>
          <w:rFonts w:cs="Arial"/>
        </w:rPr>
        <w:t xml:space="preserve"> The increase in the financial gap is primarily due the announcement within the provisional financial settlement that the 2% Adults Social Care Precept could not be applied in 2020/21, which had previously been assumed in the MTFS. </w:t>
      </w:r>
    </w:p>
    <w:p w14:paraId="31088D6C" w14:textId="77777777" w:rsidR="00B0660A" w:rsidRDefault="0009090A" w:rsidP="00B0660A">
      <w:pPr>
        <w:tabs>
          <w:tab w:val="left" w:pos="6430"/>
        </w:tabs>
        <w:spacing w:after="0"/>
        <w:rPr>
          <w:rFonts w:cs="Arial"/>
        </w:rPr>
      </w:pPr>
      <w:r>
        <w:rPr>
          <w:rFonts w:cs="Arial"/>
        </w:rPr>
        <w:tab/>
      </w:r>
    </w:p>
    <w:p w14:paraId="1D3B021E" w14:textId="3026327D" w:rsidR="002B7474" w:rsidRPr="00B0660A" w:rsidRDefault="002B7474" w:rsidP="00B0660A">
      <w:pPr>
        <w:tabs>
          <w:tab w:val="left" w:pos="6430"/>
        </w:tabs>
        <w:spacing w:after="0"/>
        <w:rPr>
          <w:rFonts w:cs="Arial"/>
        </w:rPr>
      </w:pPr>
      <w:r w:rsidRPr="00882976">
        <w:rPr>
          <w:rFonts w:cs="Arial"/>
          <w:b/>
        </w:rPr>
        <w:t>1.2 Finan</w:t>
      </w:r>
      <w:r w:rsidR="0016463C">
        <w:rPr>
          <w:rFonts w:cs="Arial"/>
          <w:b/>
        </w:rPr>
        <w:t>cial Overview 2017/18 – 2020/21</w:t>
      </w:r>
    </w:p>
    <w:p w14:paraId="2A03F770" w14:textId="77777777" w:rsidR="00990E77" w:rsidRPr="00882976" w:rsidRDefault="00990E77" w:rsidP="002B7474">
      <w:pPr>
        <w:tabs>
          <w:tab w:val="left" w:pos="567"/>
          <w:tab w:val="left" w:pos="1134"/>
        </w:tabs>
        <w:spacing w:after="0"/>
        <w:rPr>
          <w:rFonts w:cs="Arial"/>
          <w:b/>
        </w:rPr>
      </w:pPr>
    </w:p>
    <w:p w14:paraId="1B1EA6EF" w14:textId="133996F1" w:rsidR="002B7474" w:rsidRPr="00990E77" w:rsidRDefault="00803BE1" w:rsidP="003C40E6">
      <w:pPr>
        <w:pStyle w:val="NoSpacing"/>
        <w:jc w:val="both"/>
        <w:rPr>
          <w:rFonts w:cs="Arial"/>
          <w:szCs w:val="24"/>
        </w:rPr>
      </w:pPr>
      <w:r w:rsidRPr="00990E77">
        <w:rPr>
          <w:rFonts w:cs="Arial"/>
          <w:szCs w:val="24"/>
        </w:rPr>
        <w:t xml:space="preserve">Under a </w:t>
      </w:r>
      <w:r w:rsidR="002B7474" w:rsidRPr="00990E77">
        <w:rPr>
          <w:rFonts w:cs="Arial"/>
          <w:szCs w:val="24"/>
        </w:rPr>
        <w:t xml:space="preserve">separate Money Matters report </w:t>
      </w:r>
      <w:r w:rsidRPr="00990E77">
        <w:rPr>
          <w:rFonts w:cs="Arial"/>
          <w:szCs w:val="24"/>
        </w:rPr>
        <w:t>t</w:t>
      </w:r>
      <w:r w:rsidR="002B7474" w:rsidRPr="00990E77">
        <w:rPr>
          <w:rFonts w:cs="Arial"/>
          <w:szCs w:val="24"/>
        </w:rPr>
        <w:t xml:space="preserve">he County Council's financial position </w:t>
      </w:r>
      <w:r w:rsidRPr="00990E77">
        <w:rPr>
          <w:rFonts w:cs="Arial"/>
          <w:szCs w:val="24"/>
        </w:rPr>
        <w:t xml:space="preserve">for 2016/17 </w:t>
      </w:r>
      <w:r w:rsidR="00990E77">
        <w:rPr>
          <w:rFonts w:cs="Arial"/>
          <w:szCs w:val="24"/>
        </w:rPr>
        <w:t>as at 31st</w:t>
      </w:r>
      <w:r w:rsidR="002B7474" w:rsidRPr="00990E77">
        <w:rPr>
          <w:rFonts w:cs="Arial"/>
          <w:szCs w:val="24"/>
        </w:rPr>
        <w:t xml:space="preserve"> </w:t>
      </w:r>
      <w:r w:rsidR="00990E77">
        <w:rPr>
          <w:rFonts w:cs="Arial"/>
          <w:szCs w:val="24"/>
        </w:rPr>
        <w:t>December</w:t>
      </w:r>
      <w:r w:rsidR="002B7474" w:rsidRPr="00990E77">
        <w:rPr>
          <w:rFonts w:cs="Arial"/>
          <w:szCs w:val="24"/>
        </w:rPr>
        <w:t xml:space="preserve"> </w:t>
      </w:r>
      <w:r w:rsidRPr="00990E77">
        <w:rPr>
          <w:rFonts w:cs="Arial"/>
          <w:szCs w:val="24"/>
        </w:rPr>
        <w:t>has been outlined (£</w:t>
      </w:r>
      <w:r w:rsidR="003C40E6" w:rsidRPr="00990E77">
        <w:rPr>
          <w:rFonts w:cs="Arial"/>
          <w:szCs w:val="24"/>
        </w:rPr>
        <w:t>1</w:t>
      </w:r>
      <w:r w:rsidR="00B0660A">
        <w:rPr>
          <w:rFonts w:cs="Arial"/>
          <w:szCs w:val="24"/>
        </w:rPr>
        <w:t>5.298</w:t>
      </w:r>
      <w:r w:rsidR="003C40E6" w:rsidRPr="00990E77">
        <w:rPr>
          <w:rFonts w:cs="Arial"/>
          <w:szCs w:val="24"/>
        </w:rPr>
        <w:t>m forecast</w:t>
      </w:r>
      <w:r w:rsidRPr="00990E77">
        <w:rPr>
          <w:rFonts w:cs="Arial"/>
          <w:szCs w:val="24"/>
        </w:rPr>
        <w:t xml:space="preserve"> underspend)</w:t>
      </w:r>
      <w:r w:rsidR="002B7474" w:rsidRPr="00990E77">
        <w:rPr>
          <w:rFonts w:cs="Arial"/>
          <w:szCs w:val="24"/>
        </w:rPr>
        <w:t xml:space="preserve">. </w:t>
      </w:r>
      <w:r w:rsidRPr="00990E77">
        <w:rPr>
          <w:rFonts w:cs="Arial"/>
          <w:szCs w:val="24"/>
        </w:rPr>
        <w:t xml:space="preserve">This is </w:t>
      </w:r>
      <w:r w:rsidR="00B0660A">
        <w:rPr>
          <w:rFonts w:cs="Arial"/>
          <w:szCs w:val="24"/>
        </w:rPr>
        <w:t xml:space="preserve">a slightly improved </w:t>
      </w:r>
      <w:r w:rsidR="00990E77" w:rsidRPr="00990E77">
        <w:rPr>
          <w:rFonts w:cs="Arial"/>
          <w:szCs w:val="24"/>
        </w:rPr>
        <w:t xml:space="preserve">variance reported </w:t>
      </w:r>
      <w:r w:rsidR="00B0660A">
        <w:rPr>
          <w:rFonts w:cs="Arial"/>
          <w:szCs w:val="24"/>
        </w:rPr>
        <w:t xml:space="preserve">compared </w:t>
      </w:r>
      <w:r w:rsidR="00990E77" w:rsidRPr="00990E77">
        <w:rPr>
          <w:rFonts w:cs="Arial"/>
          <w:szCs w:val="24"/>
        </w:rPr>
        <w:t>to Cabinet</w:t>
      </w:r>
      <w:r w:rsidR="00B0660A">
        <w:rPr>
          <w:rFonts w:cs="Arial"/>
          <w:szCs w:val="24"/>
        </w:rPr>
        <w:t xml:space="preserve"> in December </w:t>
      </w:r>
      <w:r w:rsidR="00990E77" w:rsidRPr="00990E77">
        <w:rPr>
          <w:rFonts w:cs="Arial"/>
          <w:szCs w:val="24"/>
        </w:rPr>
        <w:t xml:space="preserve">, but it is important to note that the underspend is </w:t>
      </w:r>
      <w:r w:rsidR="003C40E6" w:rsidRPr="00990E77">
        <w:rPr>
          <w:rFonts w:cs="Arial"/>
          <w:szCs w:val="24"/>
        </w:rPr>
        <w:t xml:space="preserve">primarily the result of Treasury Management activities and the underlying position </w:t>
      </w:r>
      <w:r w:rsidR="00990E77" w:rsidRPr="00990E77">
        <w:rPr>
          <w:rFonts w:cs="Arial"/>
          <w:szCs w:val="24"/>
        </w:rPr>
        <w:t>still contains significant</w:t>
      </w:r>
      <w:r w:rsidR="003C40E6" w:rsidRPr="00990E77">
        <w:rPr>
          <w:rFonts w:cs="Arial"/>
          <w:szCs w:val="24"/>
        </w:rPr>
        <w:t xml:space="preserve"> pressures on demand led budgets, particularly Children's Social Care.   </w:t>
      </w:r>
    </w:p>
    <w:p w14:paraId="78FC56F4" w14:textId="77777777" w:rsidR="002B7474" w:rsidRPr="00D02E27" w:rsidRDefault="002B7474" w:rsidP="00D81A94">
      <w:pPr>
        <w:pStyle w:val="NoSpacing"/>
        <w:rPr>
          <w:rFonts w:cs="Arial"/>
          <w:szCs w:val="24"/>
          <w:highlight w:val="yellow"/>
        </w:rPr>
      </w:pPr>
    </w:p>
    <w:p w14:paraId="375721C3" w14:textId="5D583B1F" w:rsidR="0016463C" w:rsidRDefault="002B7474" w:rsidP="00D81A94">
      <w:pPr>
        <w:pStyle w:val="NoSpacing"/>
        <w:rPr>
          <w:rFonts w:cs="Arial"/>
          <w:szCs w:val="24"/>
        </w:rPr>
      </w:pPr>
      <w:r w:rsidRPr="00990E77">
        <w:rPr>
          <w:rFonts w:cs="Arial"/>
          <w:szCs w:val="24"/>
        </w:rPr>
        <w:t>The assumptions made in the original MTFS have been reviewed and been updated to reflect t</w:t>
      </w:r>
      <w:r w:rsidR="002C59FD" w:rsidRPr="00990E77">
        <w:rPr>
          <w:rFonts w:cs="Arial"/>
          <w:szCs w:val="24"/>
        </w:rPr>
        <w:t>he latest information available.</w:t>
      </w:r>
    </w:p>
    <w:p w14:paraId="1CE0F84B" w14:textId="77777777" w:rsidR="00990E77" w:rsidRDefault="00990E77" w:rsidP="00D81A94">
      <w:pPr>
        <w:pStyle w:val="NoSpacing"/>
        <w:rPr>
          <w:rFonts w:cs="Arial"/>
          <w:szCs w:val="24"/>
        </w:rPr>
      </w:pPr>
    </w:p>
    <w:p w14:paraId="446BBF79" w14:textId="77777777" w:rsidR="00B0660A" w:rsidRDefault="00B0660A" w:rsidP="00D81A94">
      <w:pPr>
        <w:pStyle w:val="NoSpacing"/>
        <w:rPr>
          <w:rFonts w:cs="Arial"/>
          <w:szCs w:val="24"/>
        </w:rPr>
      </w:pPr>
    </w:p>
    <w:p w14:paraId="749D6B88" w14:textId="77777777" w:rsidR="00B0660A" w:rsidRDefault="00B0660A" w:rsidP="00D81A94">
      <w:pPr>
        <w:pStyle w:val="NoSpacing"/>
        <w:rPr>
          <w:rFonts w:cs="Arial"/>
          <w:szCs w:val="24"/>
        </w:rPr>
      </w:pPr>
    </w:p>
    <w:p w14:paraId="563333CB" w14:textId="77777777" w:rsidR="00B0660A" w:rsidRDefault="00B0660A" w:rsidP="00D81A94">
      <w:pPr>
        <w:pStyle w:val="NoSpacing"/>
        <w:rPr>
          <w:rFonts w:cs="Arial"/>
          <w:szCs w:val="24"/>
        </w:rPr>
      </w:pPr>
    </w:p>
    <w:p w14:paraId="0556E876" w14:textId="77777777" w:rsidR="00B0660A" w:rsidRDefault="00B0660A" w:rsidP="00D81A94">
      <w:pPr>
        <w:pStyle w:val="NoSpacing"/>
        <w:rPr>
          <w:rFonts w:cs="Arial"/>
          <w:szCs w:val="24"/>
        </w:rPr>
      </w:pPr>
    </w:p>
    <w:p w14:paraId="7220B80D" w14:textId="77777777" w:rsidR="00B0660A" w:rsidRDefault="00B0660A" w:rsidP="00D81A94">
      <w:pPr>
        <w:pStyle w:val="NoSpacing"/>
        <w:rPr>
          <w:rFonts w:cs="Arial"/>
          <w:szCs w:val="24"/>
        </w:rPr>
      </w:pPr>
    </w:p>
    <w:p w14:paraId="6C41CBF9" w14:textId="77777777" w:rsidR="00B0660A" w:rsidRDefault="00B0660A" w:rsidP="00D81A94">
      <w:pPr>
        <w:pStyle w:val="NoSpacing"/>
        <w:rPr>
          <w:rFonts w:cs="Arial"/>
          <w:szCs w:val="24"/>
        </w:rPr>
      </w:pPr>
    </w:p>
    <w:p w14:paraId="333AF609" w14:textId="77777777" w:rsidR="00B0660A" w:rsidRDefault="00B0660A" w:rsidP="00D81A94">
      <w:pPr>
        <w:pStyle w:val="NoSpacing"/>
        <w:rPr>
          <w:rFonts w:cs="Arial"/>
          <w:szCs w:val="24"/>
        </w:rPr>
      </w:pPr>
    </w:p>
    <w:p w14:paraId="77FD845E" w14:textId="77777777" w:rsidR="00B0660A" w:rsidRDefault="00B0660A" w:rsidP="00D81A94">
      <w:pPr>
        <w:pStyle w:val="NoSpacing"/>
        <w:rPr>
          <w:rFonts w:cs="Arial"/>
          <w:szCs w:val="24"/>
        </w:rPr>
      </w:pPr>
    </w:p>
    <w:p w14:paraId="53CC06D4" w14:textId="77777777" w:rsidR="00B0660A" w:rsidRDefault="00B0660A" w:rsidP="00D81A94">
      <w:pPr>
        <w:pStyle w:val="NoSpacing"/>
        <w:rPr>
          <w:rFonts w:cs="Arial"/>
          <w:szCs w:val="24"/>
        </w:rPr>
      </w:pPr>
    </w:p>
    <w:p w14:paraId="552ED672" w14:textId="77777777" w:rsidR="00B0660A" w:rsidRDefault="00B0660A" w:rsidP="00D81A94">
      <w:pPr>
        <w:pStyle w:val="NoSpacing"/>
        <w:rPr>
          <w:rFonts w:cs="Arial"/>
          <w:szCs w:val="24"/>
        </w:rPr>
      </w:pPr>
    </w:p>
    <w:p w14:paraId="00E5AEAE" w14:textId="77777777" w:rsidR="00B0660A" w:rsidRDefault="00B0660A" w:rsidP="00D81A94">
      <w:pPr>
        <w:pStyle w:val="NoSpacing"/>
        <w:rPr>
          <w:rFonts w:cs="Arial"/>
          <w:szCs w:val="24"/>
        </w:rPr>
      </w:pPr>
    </w:p>
    <w:p w14:paraId="066B05D5" w14:textId="77777777" w:rsidR="00B0660A" w:rsidRDefault="00B0660A" w:rsidP="00D81A94">
      <w:pPr>
        <w:pStyle w:val="NoSpacing"/>
        <w:rPr>
          <w:rFonts w:cs="Arial"/>
          <w:szCs w:val="24"/>
        </w:rPr>
      </w:pPr>
    </w:p>
    <w:p w14:paraId="52CB6DD5" w14:textId="77777777" w:rsidR="00B0660A" w:rsidRDefault="00B0660A" w:rsidP="00D81A94">
      <w:pPr>
        <w:pStyle w:val="NoSpacing"/>
        <w:rPr>
          <w:rFonts w:cs="Arial"/>
          <w:szCs w:val="24"/>
        </w:rPr>
      </w:pPr>
    </w:p>
    <w:p w14:paraId="00BB4536" w14:textId="01F6ED5A" w:rsidR="00791642" w:rsidRPr="00882976" w:rsidRDefault="00D81A94" w:rsidP="00D81A94">
      <w:pPr>
        <w:pStyle w:val="NoSpacing"/>
        <w:rPr>
          <w:rFonts w:cs="Arial"/>
          <w:szCs w:val="24"/>
        </w:rPr>
      </w:pPr>
      <w:r w:rsidRPr="00882976">
        <w:rPr>
          <w:rFonts w:cs="Arial"/>
          <w:szCs w:val="24"/>
        </w:rPr>
        <w:lastRenderedPageBreak/>
        <w:t>The table below provides a detailed analysis and movements between the previously reported financial gap and the revised financial gap:</w:t>
      </w:r>
    </w:p>
    <w:p w14:paraId="6A7AC9FF" w14:textId="77777777" w:rsidR="00D81A94" w:rsidRPr="00882976" w:rsidRDefault="00D81A94" w:rsidP="00D81A94">
      <w:pPr>
        <w:pStyle w:val="NoSpacing"/>
        <w:rPr>
          <w:rFonts w:cs="Arial"/>
          <w:b/>
          <w:szCs w:val="24"/>
        </w:rPr>
      </w:pPr>
    </w:p>
    <w:tbl>
      <w:tblPr>
        <w:tblStyle w:val="TableGrid"/>
        <w:tblW w:w="9823" w:type="dxa"/>
        <w:jc w:val="center"/>
        <w:tblLayout w:type="fixed"/>
        <w:tblLook w:val="04A0" w:firstRow="1" w:lastRow="0" w:firstColumn="1" w:lastColumn="0" w:noHBand="0" w:noVBand="1"/>
      </w:tblPr>
      <w:tblGrid>
        <w:gridCol w:w="3403"/>
        <w:gridCol w:w="1284"/>
        <w:gridCol w:w="1284"/>
        <w:gridCol w:w="1284"/>
        <w:gridCol w:w="1284"/>
        <w:gridCol w:w="1284"/>
      </w:tblGrid>
      <w:tr w:rsidR="00791642" w:rsidRPr="00882976" w14:paraId="1BF60706" w14:textId="6E4558A2" w:rsidTr="00791642">
        <w:trPr>
          <w:trHeight w:val="593"/>
          <w:jc w:val="center"/>
        </w:trPr>
        <w:tc>
          <w:tcPr>
            <w:tcW w:w="3403" w:type="dxa"/>
            <w:shd w:val="clear" w:color="auto" w:fill="BFBFBF" w:themeFill="background1" w:themeFillShade="BF"/>
            <w:vAlign w:val="center"/>
          </w:tcPr>
          <w:p w14:paraId="56DD0059" w14:textId="77777777" w:rsidR="00791642" w:rsidRPr="00882976" w:rsidRDefault="00791642" w:rsidP="00791642">
            <w:pPr>
              <w:pStyle w:val="NoSpacing"/>
              <w:jc w:val="center"/>
              <w:rPr>
                <w:rFonts w:cs="Arial"/>
                <w:b/>
                <w:szCs w:val="24"/>
              </w:rPr>
            </w:pPr>
          </w:p>
        </w:tc>
        <w:tc>
          <w:tcPr>
            <w:tcW w:w="1284" w:type="dxa"/>
            <w:shd w:val="clear" w:color="auto" w:fill="BFBFBF" w:themeFill="background1" w:themeFillShade="BF"/>
            <w:vAlign w:val="center"/>
          </w:tcPr>
          <w:p w14:paraId="776345A3" w14:textId="77777777" w:rsidR="00791642" w:rsidRPr="00882976" w:rsidRDefault="00791642" w:rsidP="00791642">
            <w:pPr>
              <w:pStyle w:val="NoSpacing"/>
              <w:jc w:val="center"/>
              <w:rPr>
                <w:rFonts w:cs="Arial"/>
                <w:b/>
                <w:szCs w:val="24"/>
              </w:rPr>
            </w:pPr>
            <w:r w:rsidRPr="00882976">
              <w:rPr>
                <w:rFonts w:cs="Arial"/>
                <w:b/>
                <w:szCs w:val="24"/>
              </w:rPr>
              <w:t>2017/18</w:t>
            </w:r>
          </w:p>
          <w:p w14:paraId="36736491"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03E5ED50" w14:textId="77777777" w:rsidR="00791642" w:rsidRPr="00882976" w:rsidRDefault="00791642" w:rsidP="00791642">
            <w:pPr>
              <w:pStyle w:val="NoSpacing"/>
              <w:jc w:val="center"/>
              <w:rPr>
                <w:rFonts w:cs="Arial"/>
                <w:b/>
                <w:szCs w:val="24"/>
              </w:rPr>
            </w:pPr>
            <w:r w:rsidRPr="00882976">
              <w:rPr>
                <w:rFonts w:cs="Arial"/>
                <w:b/>
                <w:szCs w:val="24"/>
              </w:rPr>
              <w:t>2018/19</w:t>
            </w:r>
          </w:p>
          <w:p w14:paraId="26CDD95A"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42180984" w14:textId="77777777" w:rsidR="00791642" w:rsidRPr="00882976" w:rsidRDefault="00791642" w:rsidP="00791642">
            <w:pPr>
              <w:pStyle w:val="NoSpacing"/>
              <w:jc w:val="center"/>
              <w:rPr>
                <w:rFonts w:cs="Arial"/>
                <w:b/>
                <w:szCs w:val="24"/>
              </w:rPr>
            </w:pPr>
            <w:r w:rsidRPr="00882976">
              <w:rPr>
                <w:rFonts w:cs="Arial"/>
                <w:b/>
                <w:szCs w:val="24"/>
              </w:rPr>
              <w:t>2019/20</w:t>
            </w:r>
          </w:p>
          <w:p w14:paraId="2F31F328"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2A4A1615" w14:textId="77777777" w:rsidR="00791642" w:rsidRPr="00882976" w:rsidRDefault="00791642" w:rsidP="00791642">
            <w:pPr>
              <w:pStyle w:val="NoSpacing"/>
              <w:jc w:val="center"/>
              <w:rPr>
                <w:rFonts w:cs="Arial"/>
                <w:b/>
                <w:szCs w:val="24"/>
              </w:rPr>
            </w:pPr>
            <w:r w:rsidRPr="00882976">
              <w:rPr>
                <w:rFonts w:cs="Arial"/>
                <w:b/>
                <w:szCs w:val="24"/>
              </w:rPr>
              <w:t>2020/21</w:t>
            </w:r>
          </w:p>
          <w:p w14:paraId="773DE138"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tcPr>
          <w:p w14:paraId="09E950FF" w14:textId="77777777" w:rsidR="00791642" w:rsidRPr="00882976" w:rsidRDefault="00791642" w:rsidP="00791642">
            <w:pPr>
              <w:pStyle w:val="NoSpacing"/>
              <w:jc w:val="center"/>
              <w:rPr>
                <w:rFonts w:cs="Arial"/>
                <w:b/>
                <w:szCs w:val="24"/>
              </w:rPr>
            </w:pPr>
            <w:r w:rsidRPr="00882976">
              <w:rPr>
                <w:rFonts w:cs="Arial"/>
                <w:b/>
                <w:szCs w:val="24"/>
              </w:rPr>
              <w:t xml:space="preserve">Total </w:t>
            </w:r>
          </w:p>
          <w:p w14:paraId="75662846" w14:textId="421C0CC3" w:rsidR="00791642" w:rsidRPr="00882976" w:rsidRDefault="00791642" w:rsidP="00791642">
            <w:pPr>
              <w:pStyle w:val="NoSpacing"/>
              <w:jc w:val="center"/>
              <w:rPr>
                <w:rFonts w:cs="Arial"/>
                <w:b/>
                <w:szCs w:val="24"/>
              </w:rPr>
            </w:pPr>
            <w:r w:rsidRPr="00882976">
              <w:rPr>
                <w:rFonts w:cs="Arial"/>
                <w:b/>
                <w:szCs w:val="24"/>
              </w:rPr>
              <w:t>£m</w:t>
            </w:r>
          </w:p>
        </w:tc>
      </w:tr>
      <w:tr w:rsidR="00791642" w:rsidRPr="00882976" w14:paraId="758E9B38" w14:textId="6B23F525" w:rsidTr="001E485A">
        <w:trPr>
          <w:trHeight w:val="552"/>
          <w:jc w:val="center"/>
        </w:trPr>
        <w:tc>
          <w:tcPr>
            <w:tcW w:w="3403" w:type="dxa"/>
            <w:vAlign w:val="center"/>
          </w:tcPr>
          <w:p w14:paraId="26BE53BD" w14:textId="764FA0C2" w:rsidR="00791642" w:rsidRPr="00882976" w:rsidRDefault="00791642" w:rsidP="007F6B26">
            <w:pPr>
              <w:pStyle w:val="NoSpacing"/>
              <w:rPr>
                <w:rFonts w:cs="Arial"/>
                <w:b/>
                <w:szCs w:val="24"/>
              </w:rPr>
            </w:pPr>
            <w:r w:rsidRPr="00882976">
              <w:rPr>
                <w:rFonts w:cs="Arial"/>
                <w:b/>
                <w:szCs w:val="24"/>
              </w:rPr>
              <w:t xml:space="preserve">Spending Gap as reported to </w:t>
            </w:r>
            <w:r w:rsidR="007F6B26" w:rsidRPr="00882976">
              <w:rPr>
                <w:rFonts w:cs="Arial"/>
                <w:b/>
                <w:szCs w:val="24"/>
              </w:rPr>
              <w:t xml:space="preserve">Cabinet </w:t>
            </w:r>
            <w:r w:rsidR="00D02E27">
              <w:rPr>
                <w:rFonts w:cs="Arial"/>
                <w:b/>
                <w:szCs w:val="24"/>
              </w:rPr>
              <w:t>December</w:t>
            </w:r>
            <w:r w:rsidR="007F6B26" w:rsidRPr="00882976">
              <w:rPr>
                <w:rFonts w:cs="Arial"/>
                <w:b/>
                <w:szCs w:val="24"/>
              </w:rPr>
              <w:t xml:space="preserve"> 2016</w:t>
            </w:r>
          </w:p>
          <w:p w14:paraId="48783763" w14:textId="71ECDBEF" w:rsidR="007F6B26" w:rsidRPr="00882976" w:rsidRDefault="007F6B26" w:rsidP="007F6B26">
            <w:pPr>
              <w:pStyle w:val="NoSpacing"/>
              <w:rPr>
                <w:rFonts w:cs="Arial"/>
                <w:b/>
                <w:szCs w:val="24"/>
              </w:rPr>
            </w:pPr>
          </w:p>
        </w:tc>
        <w:tc>
          <w:tcPr>
            <w:tcW w:w="1284" w:type="dxa"/>
            <w:vAlign w:val="center"/>
          </w:tcPr>
          <w:p w14:paraId="46F1B25F" w14:textId="63A79267" w:rsidR="00791642" w:rsidRPr="00882976" w:rsidRDefault="00D02E27" w:rsidP="00791642">
            <w:pPr>
              <w:pStyle w:val="NoSpacing"/>
              <w:jc w:val="center"/>
              <w:rPr>
                <w:rFonts w:cs="Arial"/>
                <w:szCs w:val="24"/>
              </w:rPr>
            </w:pPr>
            <w:r>
              <w:rPr>
                <w:rFonts w:cs="Arial"/>
                <w:szCs w:val="24"/>
              </w:rPr>
              <w:t>60.350</w:t>
            </w:r>
          </w:p>
        </w:tc>
        <w:tc>
          <w:tcPr>
            <w:tcW w:w="1284" w:type="dxa"/>
            <w:vAlign w:val="center"/>
          </w:tcPr>
          <w:p w14:paraId="4154C572" w14:textId="0F1DE825" w:rsidR="00791642" w:rsidRPr="00882976" w:rsidRDefault="00D02E27" w:rsidP="00791642">
            <w:pPr>
              <w:pStyle w:val="NoSpacing"/>
              <w:jc w:val="center"/>
              <w:rPr>
                <w:rFonts w:cs="Arial"/>
                <w:szCs w:val="24"/>
              </w:rPr>
            </w:pPr>
            <w:r>
              <w:rPr>
                <w:rFonts w:cs="Arial"/>
                <w:szCs w:val="24"/>
              </w:rPr>
              <w:t>26.497</w:t>
            </w:r>
          </w:p>
        </w:tc>
        <w:tc>
          <w:tcPr>
            <w:tcW w:w="1284" w:type="dxa"/>
            <w:vAlign w:val="center"/>
          </w:tcPr>
          <w:p w14:paraId="6C278592" w14:textId="32EF9E37" w:rsidR="00791642" w:rsidRPr="00882976" w:rsidRDefault="00D02E27" w:rsidP="00791642">
            <w:pPr>
              <w:pStyle w:val="NoSpacing"/>
              <w:jc w:val="center"/>
              <w:rPr>
                <w:rFonts w:cs="Arial"/>
                <w:szCs w:val="24"/>
              </w:rPr>
            </w:pPr>
            <w:r>
              <w:rPr>
                <w:rFonts w:cs="Arial"/>
                <w:szCs w:val="24"/>
              </w:rPr>
              <w:t>31.032</w:t>
            </w:r>
          </w:p>
        </w:tc>
        <w:tc>
          <w:tcPr>
            <w:tcW w:w="1284" w:type="dxa"/>
            <w:vAlign w:val="center"/>
          </w:tcPr>
          <w:p w14:paraId="433C261A" w14:textId="575F9D1F" w:rsidR="00791642" w:rsidRPr="00882976" w:rsidRDefault="00D02E27" w:rsidP="00791642">
            <w:pPr>
              <w:pStyle w:val="NoSpacing"/>
              <w:jc w:val="center"/>
              <w:rPr>
                <w:rFonts w:cs="Arial"/>
                <w:szCs w:val="24"/>
              </w:rPr>
            </w:pPr>
            <w:r>
              <w:rPr>
                <w:rFonts w:cs="Arial"/>
                <w:szCs w:val="24"/>
              </w:rPr>
              <w:t>28.254</w:t>
            </w:r>
          </w:p>
        </w:tc>
        <w:tc>
          <w:tcPr>
            <w:tcW w:w="1284" w:type="dxa"/>
            <w:vAlign w:val="center"/>
          </w:tcPr>
          <w:p w14:paraId="5D80860C" w14:textId="5D4C9E99" w:rsidR="00791642" w:rsidRPr="00882976" w:rsidRDefault="00D02E27" w:rsidP="001E485A">
            <w:pPr>
              <w:pStyle w:val="NoSpacing"/>
              <w:jc w:val="center"/>
              <w:rPr>
                <w:rFonts w:cs="Arial"/>
                <w:b/>
                <w:szCs w:val="24"/>
              </w:rPr>
            </w:pPr>
            <w:r>
              <w:rPr>
                <w:rFonts w:cs="Arial"/>
                <w:b/>
                <w:szCs w:val="24"/>
              </w:rPr>
              <w:t>146.133</w:t>
            </w:r>
          </w:p>
        </w:tc>
      </w:tr>
      <w:tr w:rsidR="00791642" w:rsidRPr="00882976" w14:paraId="7CD71161" w14:textId="26A37312" w:rsidTr="001E485A">
        <w:trPr>
          <w:trHeight w:val="552"/>
          <w:jc w:val="center"/>
        </w:trPr>
        <w:tc>
          <w:tcPr>
            <w:tcW w:w="3403" w:type="dxa"/>
            <w:shd w:val="clear" w:color="auto" w:fill="BFBFBF" w:themeFill="background1" w:themeFillShade="BF"/>
            <w:vAlign w:val="center"/>
          </w:tcPr>
          <w:p w14:paraId="7AE5A322" w14:textId="320C4923" w:rsidR="00791642" w:rsidRPr="00882976" w:rsidRDefault="00791642" w:rsidP="00791642">
            <w:pPr>
              <w:pStyle w:val="NoSpacing"/>
              <w:rPr>
                <w:rFonts w:cs="Arial"/>
                <w:szCs w:val="24"/>
              </w:rPr>
            </w:pPr>
            <w:r w:rsidRPr="00882976">
              <w:rPr>
                <w:rFonts w:cs="Arial"/>
                <w:szCs w:val="24"/>
              </w:rPr>
              <w:t>Add change to forecast of spending:</w:t>
            </w:r>
          </w:p>
        </w:tc>
        <w:tc>
          <w:tcPr>
            <w:tcW w:w="1284" w:type="dxa"/>
            <w:shd w:val="clear" w:color="auto" w:fill="BFBFBF" w:themeFill="background1" w:themeFillShade="BF"/>
            <w:vAlign w:val="center"/>
          </w:tcPr>
          <w:p w14:paraId="56B04FDA" w14:textId="19607CF2"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44F44BD1" w14:textId="7F2A6B3A"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6B0D60CC" w14:textId="71204CAD"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7B476412" w14:textId="1C5E84FB"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678244EA" w14:textId="77777777" w:rsidR="00791642" w:rsidRPr="00882976" w:rsidRDefault="00791642" w:rsidP="001E485A">
            <w:pPr>
              <w:pStyle w:val="NoSpacing"/>
              <w:jc w:val="center"/>
              <w:rPr>
                <w:rFonts w:cs="Arial"/>
                <w:b/>
                <w:szCs w:val="24"/>
              </w:rPr>
            </w:pPr>
          </w:p>
        </w:tc>
      </w:tr>
      <w:tr w:rsidR="00791642" w:rsidRPr="00882976" w14:paraId="0F8FA0E2" w14:textId="0B9ABAE0" w:rsidTr="001E485A">
        <w:trPr>
          <w:trHeight w:val="552"/>
          <w:jc w:val="center"/>
        </w:trPr>
        <w:tc>
          <w:tcPr>
            <w:tcW w:w="3403" w:type="dxa"/>
            <w:vAlign w:val="center"/>
          </w:tcPr>
          <w:p w14:paraId="61C2A667" w14:textId="32BBF31A" w:rsidR="00791642" w:rsidRPr="00882976" w:rsidRDefault="00791642" w:rsidP="00791642">
            <w:pPr>
              <w:pStyle w:val="NoSpacing"/>
              <w:rPr>
                <w:rFonts w:cs="Arial"/>
                <w:szCs w:val="24"/>
              </w:rPr>
            </w:pPr>
            <w:r w:rsidRPr="00882976">
              <w:rPr>
                <w:rFonts w:cs="Arial"/>
                <w:szCs w:val="24"/>
              </w:rPr>
              <w:t>Pay and Pensions</w:t>
            </w:r>
          </w:p>
        </w:tc>
        <w:tc>
          <w:tcPr>
            <w:tcW w:w="1284" w:type="dxa"/>
            <w:vAlign w:val="center"/>
          </w:tcPr>
          <w:p w14:paraId="0376BA7A" w14:textId="7DAA74EA" w:rsidR="00791642" w:rsidRPr="00882976" w:rsidRDefault="00D02E27" w:rsidP="009E3967">
            <w:pPr>
              <w:pStyle w:val="NoSpacing"/>
              <w:jc w:val="center"/>
              <w:rPr>
                <w:rFonts w:cs="Arial"/>
                <w:szCs w:val="24"/>
              </w:rPr>
            </w:pPr>
            <w:r>
              <w:rPr>
                <w:rFonts w:cs="Arial"/>
                <w:szCs w:val="24"/>
              </w:rPr>
              <w:t>0.000</w:t>
            </w:r>
          </w:p>
        </w:tc>
        <w:tc>
          <w:tcPr>
            <w:tcW w:w="1284" w:type="dxa"/>
            <w:vAlign w:val="center"/>
          </w:tcPr>
          <w:p w14:paraId="7CDC93DD" w14:textId="2E1118C7" w:rsidR="00791642" w:rsidRPr="00882976" w:rsidRDefault="00D02E27" w:rsidP="00791642">
            <w:pPr>
              <w:pStyle w:val="NoSpacing"/>
              <w:jc w:val="center"/>
              <w:rPr>
                <w:rFonts w:cs="Arial"/>
                <w:szCs w:val="24"/>
              </w:rPr>
            </w:pPr>
            <w:r>
              <w:rPr>
                <w:rFonts w:cs="Arial"/>
                <w:szCs w:val="24"/>
              </w:rPr>
              <w:t>0.000</w:t>
            </w:r>
          </w:p>
        </w:tc>
        <w:tc>
          <w:tcPr>
            <w:tcW w:w="1284" w:type="dxa"/>
            <w:vAlign w:val="center"/>
          </w:tcPr>
          <w:p w14:paraId="3521724F" w14:textId="7EB77B1E" w:rsidR="00791642" w:rsidRPr="00882976" w:rsidRDefault="00D02E27" w:rsidP="00791642">
            <w:pPr>
              <w:pStyle w:val="NoSpacing"/>
              <w:jc w:val="center"/>
              <w:rPr>
                <w:rFonts w:cs="Arial"/>
                <w:szCs w:val="24"/>
              </w:rPr>
            </w:pPr>
            <w:r>
              <w:rPr>
                <w:rFonts w:cs="Arial"/>
                <w:szCs w:val="24"/>
              </w:rPr>
              <w:t>0.000</w:t>
            </w:r>
          </w:p>
        </w:tc>
        <w:tc>
          <w:tcPr>
            <w:tcW w:w="1284" w:type="dxa"/>
            <w:vAlign w:val="center"/>
          </w:tcPr>
          <w:p w14:paraId="5F2AFF43" w14:textId="430D42A4" w:rsidR="00791642" w:rsidRPr="00882976" w:rsidRDefault="00D02E27" w:rsidP="00791642">
            <w:pPr>
              <w:pStyle w:val="NoSpacing"/>
              <w:jc w:val="center"/>
              <w:rPr>
                <w:rFonts w:cs="Arial"/>
                <w:szCs w:val="24"/>
              </w:rPr>
            </w:pPr>
            <w:r>
              <w:rPr>
                <w:rFonts w:cs="Arial"/>
                <w:szCs w:val="24"/>
              </w:rPr>
              <w:t>0.000</w:t>
            </w:r>
          </w:p>
        </w:tc>
        <w:tc>
          <w:tcPr>
            <w:tcW w:w="1284" w:type="dxa"/>
            <w:vAlign w:val="center"/>
          </w:tcPr>
          <w:p w14:paraId="49FFCC23" w14:textId="34ACD288" w:rsidR="00791642" w:rsidRPr="00882976" w:rsidRDefault="00D02E27" w:rsidP="001E485A">
            <w:pPr>
              <w:pStyle w:val="NoSpacing"/>
              <w:contextualSpacing/>
              <w:jc w:val="center"/>
              <w:rPr>
                <w:rFonts w:cs="Arial"/>
                <w:b/>
                <w:szCs w:val="24"/>
              </w:rPr>
            </w:pPr>
            <w:r>
              <w:rPr>
                <w:rFonts w:cs="Arial"/>
                <w:b/>
                <w:szCs w:val="24"/>
              </w:rPr>
              <w:t>0.000</w:t>
            </w:r>
          </w:p>
        </w:tc>
      </w:tr>
      <w:tr w:rsidR="00791642" w:rsidRPr="00882976" w14:paraId="1A6010B8" w14:textId="75472D5C" w:rsidTr="001E485A">
        <w:trPr>
          <w:trHeight w:val="552"/>
          <w:jc w:val="center"/>
        </w:trPr>
        <w:tc>
          <w:tcPr>
            <w:tcW w:w="3403" w:type="dxa"/>
            <w:vAlign w:val="center"/>
          </w:tcPr>
          <w:p w14:paraId="141BB507" w14:textId="52FBFA10" w:rsidR="00791642" w:rsidRPr="00882976" w:rsidRDefault="00F10592" w:rsidP="00791642">
            <w:pPr>
              <w:pStyle w:val="NoSpacing"/>
              <w:rPr>
                <w:rFonts w:cs="Arial"/>
                <w:szCs w:val="24"/>
              </w:rPr>
            </w:pPr>
            <w:r w:rsidRPr="00882976">
              <w:rPr>
                <w:rFonts w:cs="Arial"/>
                <w:szCs w:val="24"/>
              </w:rPr>
              <w:t xml:space="preserve">Price </w:t>
            </w:r>
            <w:r w:rsidR="00791642" w:rsidRPr="00882976">
              <w:rPr>
                <w:rFonts w:cs="Arial"/>
                <w:szCs w:val="24"/>
              </w:rPr>
              <w:t>Inflation and Cost Changes</w:t>
            </w:r>
          </w:p>
        </w:tc>
        <w:tc>
          <w:tcPr>
            <w:tcW w:w="1284" w:type="dxa"/>
            <w:vAlign w:val="center"/>
          </w:tcPr>
          <w:p w14:paraId="05FC867E" w14:textId="1EC97EBC" w:rsidR="00791642" w:rsidRPr="00882976" w:rsidRDefault="00EA5023" w:rsidP="00791642">
            <w:pPr>
              <w:pStyle w:val="NoSpacing"/>
              <w:jc w:val="center"/>
              <w:rPr>
                <w:rFonts w:cs="Arial"/>
                <w:szCs w:val="24"/>
              </w:rPr>
            </w:pPr>
            <w:r>
              <w:rPr>
                <w:rFonts w:cs="Arial"/>
                <w:szCs w:val="24"/>
              </w:rPr>
              <w:t>0.502</w:t>
            </w:r>
          </w:p>
        </w:tc>
        <w:tc>
          <w:tcPr>
            <w:tcW w:w="1284" w:type="dxa"/>
            <w:vAlign w:val="center"/>
          </w:tcPr>
          <w:p w14:paraId="43C0450C" w14:textId="7A742D4E" w:rsidR="00791642" w:rsidRPr="00882976" w:rsidRDefault="00EA5023" w:rsidP="00791642">
            <w:pPr>
              <w:pStyle w:val="NoSpacing"/>
              <w:jc w:val="center"/>
              <w:rPr>
                <w:rFonts w:cs="Arial"/>
                <w:szCs w:val="24"/>
              </w:rPr>
            </w:pPr>
            <w:r>
              <w:rPr>
                <w:rFonts w:cs="Arial"/>
                <w:szCs w:val="24"/>
              </w:rPr>
              <w:t>0.179</w:t>
            </w:r>
          </w:p>
        </w:tc>
        <w:tc>
          <w:tcPr>
            <w:tcW w:w="1284" w:type="dxa"/>
            <w:vAlign w:val="center"/>
          </w:tcPr>
          <w:p w14:paraId="4225BCD1" w14:textId="1A2B4A93" w:rsidR="00791642" w:rsidRPr="00882976" w:rsidRDefault="00EA5023" w:rsidP="00791642">
            <w:pPr>
              <w:pStyle w:val="NoSpacing"/>
              <w:jc w:val="center"/>
              <w:rPr>
                <w:rFonts w:cs="Arial"/>
                <w:szCs w:val="24"/>
              </w:rPr>
            </w:pPr>
            <w:r>
              <w:rPr>
                <w:rFonts w:cs="Arial"/>
                <w:szCs w:val="24"/>
              </w:rPr>
              <w:t>0.009</w:t>
            </w:r>
          </w:p>
        </w:tc>
        <w:tc>
          <w:tcPr>
            <w:tcW w:w="1284" w:type="dxa"/>
            <w:vAlign w:val="center"/>
          </w:tcPr>
          <w:p w14:paraId="3CC98780" w14:textId="556EDC43" w:rsidR="00791642" w:rsidRPr="00882976" w:rsidRDefault="00EA5023" w:rsidP="00791642">
            <w:pPr>
              <w:pStyle w:val="NoSpacing"/>
              <w:jc w:val="center"/>
              <w:rPr>
                <w:rFonts w:cs="Arial"/>
                <w:szCs w:val="24"/>
              </w:rPr>
            </w:pPr>
            <w:r>
              <w:rPr>
                <w:rFonts w:cs="Arial"/>
                <w:szCs w:val="24"/>
              </w:rPr>
              <w:t>0.115</w:t>
            </w:r>
          </w:p>
        </w:tc>
        <w:tc>
          <w:tcPr>
            <w:tcW w:w="1284" w:type="dxa"/>
            <w:vAlign w:val="center"/>
          </w:tcPr>
          <w:p w14:paraId="46A409AC" w14:textId="6C9E793F" w:rsidR="00791642" w:rsidRPr="00882976" w:rsidRDefault="00EA5023" w:rsidP="001E485A">
            <w:pPr>
              <w:pStyle w:val="NoSpacing"/>
              <w:jc w:val="center"/>
              <w:rPr>
                <w:rFonts w:cs="Arial"/>
                <w:b/>
                <w:szCs w:val="24"/>
              </w:rPr>
            </w:pPr>
            <w:r>
              <w:rPr>
                <w:rFonts w:cs="Arial"/>
                <w:b/>
                <w:szCs w:val="24"/>
              </w:rPr>
              <w:t>0.805</w:t>
            </w:r>
          </w:p>
        </w:tc>
      </w:tr>
      <w:tr w:rsidR="00791642" w:rsidRPr="00882976" w14:paraId="61E6B67B" w14:textId="1E13F104" w:rsidTr="001E485A">
        <w:trPr>
          <w:trHeight w:val="552"/>
          <w:jc w:val="center"/>
        </w:trPr>
        <w:tc>
          <w:tcPr>
            <w:tcW w:w="3403" w:type="dxa"/>
            <w:vAlign w:val="center"/>
          </w:tcPr>
          <w:p w14:paraId="726E26CD" w14:textId="03EAB773" w:rsidR="00791642" w:rsidRPr="00882976" w:rsidRDefault="00791642" w:rsidP="00791642">
            <w:pPr>
              <w:pStyle w:val="NoSpacing"/>
              <w:rPr>
                <w:rFonts w:cs="Arial"/>
                <w:szCs w:val="24"/>
              </w:rPr>
            </w:pPr>
            <w:r w:rsidRPr="00882976">
              <w:rPr>
                <w:rFonts w:cs="Arial"/>
                <w:szCs w:val="24"/>
              </w:rPr>
              <w:t>Service Demand and Volume Pressures</w:t>
            </w:r>
          </w:p>
        </w:tc>
        <w:tc>
          <w:tcPr>
            <w:tcW w:w="1284" w:type="dxa"/>
            <w:vAlign w:val="center"/>
          </w:tcPr>
          <w:p w14:paraId="06D37D03" w14:textId="47AF57C0" w:rsidR="00791642" w:rsidRPr="00882976" w:rsidRDefault="000740AB" w:rsidP="00791642">
            <w:pPr>
              <w:pStyle w:val="NoSpacing"/>
              <w:jc w:val="center"/>
              <w:rPr>
                <w:rFonts w:cs="Arial"/>
                <w:szCs w:val="24"/>
              </w:rPr>
            </w:pPr>
            <w:r>
              <w:rPr>
                <w:rFonts w:cs="Arial"/>
                <w:szCs w:val="24"/>
              </w:rPr>
              <w:t>-0.606</w:t>
            </w:r>
          </w:p>
        </w:tc>
        <w:tc>
          <w:tcPr>
            <w:tcW w:w="1284" w:type="dxa"/>
            <w:vAlign w:val="center"/>
          </w:tcPr>
          <w:p w14:paraId="7A6F9D59" w14:textId="4CEC81B8" w:rsidR="00791642" w:rsidRPr="00882976" w:rsidRDefault="00EA5023" w:rsidP="00791642">
            <w:pPr>
              <w:pStyle w:val="NoSpacing"/>
              <w:jc w:val="center"/>
              <w:rPr>
                <w:rFonts w:cs="Arial"/>
                <w:szCs w:val="24"/>
              </w:rPr>
            </w:pPr>
            <w:r>
              <w:rPr>
                <w:rFonts w:cs="Arial"/>
                <w:szCs w:val="24"/>
              </w:rPr>
              <w:t>-0.536</w:t>
            </w:r>
          </w:p>
        </w:tc>
        <w:tc>
          <w:tcPr>
            <w:tcW w:w="1284" w:type="dxa"/>
            <w:vAlign w:val="center"/>
          </w:tcPr>
          <w:p w14:paraId="26F4678E" w14:textId="24BC1CFB" w:rsidR="00791642" w:rsidRPr="00882976" w:rsidRDefault="00EA5023" w:rsidP="00791642">
            <w:pPr>
              <w:pStyle w:val="NoSpacing"/>
              <w:jc w:val="center"/>
              <w:rPr>
                <w:rFonts w:cs="Arial"/>
                <w:szCs w:val="24"/>
              </w:rPr>
            </w:pPr>
            <w:r>
              <w:rPr>
                <w:rFonts w:cs="Arial"/>
                <w:szCs w:val="24"/>
              </w:rPr>
              <w:t>-0.140</w:t>
            </w:r>
          </w:p>
        </w:tc>
        <w:tc>
          <w:tcPr>
            <w:tcW w:w="1284" w:type="dxa"/>
            <w:vAlign w:val="center"/>
          </w:tcPr>
          <w:p w14:paraId="09356EC2" w14:textId="10D92F00" w:rsidR="00791642" w:rsidRPr="00882976" w:rsidRDefault="00EA5023" w:rsidP="00791642">
            <w:pPr>
              <w:pStyle w:val="NoSpacing"/>
              <w:jc w:val="center"/>
              <w:rPr>
                <w:rFonts w:cs="Arial"/>
                <w:szCs w:val="24"/>
              </w:rPr>
            </w:pPr>
            <w:r>
              <w:rPr>
                <w:rFonts w:cs="Arial"/>
                <w:szCs w:val="24"/>
              </w:rPr>
              <w:t>0.030</w:t>
            </w:r>
          </w:p>
        </w:tc>
        <w:tc>
          <w:tcPr>
            <w:tcW w:w="1284" w:type="dxa"/>
            <w:vAlign w:val="center"/>
          </w:tcPr>
          <w:p w14:paraId="7E11DEA5" w14:textId="2C3D9C6F" w:rsidR="00791642" w:rsidRPr="00882976" w:rsidRDefault="00796877" w:rsidP="0059655B">
            <w:pPr>
              <w:pStyle w:val="NoSpacing"/>
              <w:jc w:val="center"/>
              <w:rPr>
                <w:rFonts w:cs="Arial"/>
                <w:b/>
                <w:szCs w:val="24"/>
              </w:rPr>
            </w:pPr>
            <w:r>
              <w:rPr>
                <w:rFonts w:cs="Arial"/>
                <w:b/>
                <w:szCs w:val="24"/>
              </w:rPr>
              <w:t>-1.252</w:t>
            </w:r>
          </w:p>
        </w:tc>
      </w:tr>
      <w:tr w:rsidR="00791642" w:rsidRPr="00882976" w14:paraId="0BF6461B" w14:textId="77777777" w:rsidTr="001E485A">
        <w:trPr>
          <w:trHeight w:val="552"/>
          <w:jc w:val="center"/>
        </w:trPr>
        <w:tc>
          <w:tcPr>
            <w:tcW w:w="3403" w:type="dxa"/>
            <w:vAlign w:val="center"/>
          </w:tcPr>
          <w:p w14:paraId="481CCCB2" w14:textId="4033D213" w:rsidR="00791642" w:rsidRPr="00882976" w:rsidRDefault="00906E4C" w:rsidP="00791642">
            <w:pPr>
              <w:pStyle w:val="NoSpacing"/>
              <w:rPr>
                <w:rFonts w:cs="Arial"/>
                <w:szCs w:val="24"/>
              </w:rPr>
            </w:pPr>
            <w:r>
              <w:rPr>
                <w:rFonts w:cs="Arial"/>
                <w:szCs w:val="24"/>
              </w:rPr>
              <w:t>Adjustments to Savings</w:t>
            </w:r>
            <w:r w:rsidR="007F6B26" w:rsidRPr="00882976">
              <w:rPr>
                <w:rFonts w:cs="Arial"/>
                <w:szCs w:val="24"/>
              </w:rPr>
              <w:t xml:space="preserve"> </w:t>
            </w:r>
            <w:r>
              <w:rPr>
                <w:rFonts w:cs="Arial"/>
                <w:szCs w:val="24"/>
              </w:rPr>
              <w:t>Programme</w:t>
            </w:r>
          </w:p>
        </w:tc>
        <w:tc>
          <w:tcPr>
            <w:tcW w:w="1284" w:type="dxa"/>
            <w:vAlign w:val="center"/>
          </w:tcPr>
          <w:p w14:paraId="13E5ADE5" w14:textId="16080EED" w:rsidR="00791642" w:rsidRPr="00882976" w:rsidRDefault="00D02E27" w:rsidP="00791642">
            <w:pPr>
              <w:pStyle w:val="NoSpacing"/>
              <w:jc w:val="center"/>
              <w:rPr>
                <w:rFonts w:cs="Arial"/>
                <w:szCs w:val="24"/>
              </w:rPr>
            </w:pPr>
            <w:r>
              <w:rPr>
                <w:rFonts w:cs="Arial"/>
                <w:szCs w:val="24"/>
              </w:rPr>
              <w:t>-0.414</w:t>
            </w:r>
          </w:p>
        </w:tc>
        <w:tc>
          <w:tcPr>
            <w:tcW w:w="1284" w:type="dxa"/>
            <w:vAlign w:val="center"/>
          </w:tcPr>
          <w:p w14:paraId="6D4CECE0" w14:textId="58BB410F" w:rsidR="00791642" w:rsidRPr="00882976" w:rsidRDefault="00D02E27" w:rsidP="00791642">
            <w:pPr>
              <w:pStyle w:val="NoSpacing"/>
              <w:jc w:val="center"/>
              <w:rPr>
                <w:rFonts w:cs="Arial"/>
                <w:szCs w:val="24"/>
              </w:rPr>
            </w:pPr>
            <w:r>
              <w:rPr>
                <w:rFonts w:cs="Arial"/>
                <w:szCs w:val="24"/>
              </w:rPr>
              <w:t>0.000</w:t>
            </w:r>
          </w:p>
        </w:tc>
        <w:tc>
          <w:tcPr>
            <w:tcW w:w="1284" w:type="dxa"/>
            <w:vAlign w:val="center"/>
          </w:tcPr>
          <w:p w14:paraId="3B28408A" w14:textId="17E25453" w:rsidR="00791642" w:rsidRPr="00882976" w:rsidRDefault="00D02E27" w:rsidP="00791642">
            <w:pPr>
              <w:pStyle w:val="NoSpacing"/>
              <w:jc w:val="center"/>
              <w:rPr>
                <w:rFonts w:cs="Arial"/>
                <w:szCs w:val="24"/>
              </w:rPr>
            </w:pPr>
            <w:r>
              <w:rPr>
                <w:rFonts w:cs="Arial"/>
                <w:szCs w:val="24"/>
              </w:rPr>
              <w:t>0.000</w:t>
            </w:r>
          </w:p>
        </w:tc>
        <w:tc>
          <w:tcPr>
            <w:tcW w:w="1284" w:type="dxa"/>
            <w:vAlign w:val="center"/>
          </w:tcPr>
          <w:p w14:paraId="1240CF05" w14:textId="3247C7A3" w:rsidR="00791642" w:rsidRPr="00882976" w:rsidRDefault="00D02E27" w:rsidP="00791642">
            <w:pPr>
              <w:pStyle w:val="NoSpacing"/>
              <w:jc w:val="center"/>
              <w:rPr>
                <w:rFonts w:cs="Arial"/>
                <w:szCs w:val="24"/>
              </w:rPr>
            </w:pPr>
            <w:r>
              <w:rPr>
                <w:rFonts w:cs="Arial"/>
                <w:szCs w:val="24"/>
              </w:rPr>
              <w:t>0.000</w:t>
            </w:r>
          </w:p>
        </w:tc>
        <w:tc>
          <w:tcPr>
            <w:tcW w:w="1284" w:type="dxa"/>
            <w:vAlign w:val="center"/>
          </w:tcPr>
          <w:p w14:paraId="5B52A0F9" w14:textId="0A21DFBE" w:rsidR="00791642" w:rsidRPr="00882976" w:rsidRDefault="00410447" w:rsidP="001E485A">
            <w:pPr>
              <w:pStyle w:val="NoSpacing"/>
              <w:jc w:val="center"/>
              <w:rPr>
                <w:rFonts w:cs="Arial"/>
                <w:b/>
                <w:szCs w:val="24"/>
              </w:rPr>
            </w:pPr>
            <w:r>
              <w:rPr>
                <w:rFonts w:cs="Arial"/>
                <w:b/>
                <w:szCs w:val="24"/>
              </w:rPr>
              <w:t>-0.414</w:t>
            </w:r>
          </w:p>
        </w:tc>
      </w:tr>
      <w:tr w:rsidR="00791642" w:rsidRPr="00882976" w14:paraId="7187687D" w14:textId="77777777" w:rsidTr="001E485A">
        <w:trPr>
          <w:trHeight w:val="552"/>
          <w:jc w:val="center"/>
        </w:trPr>
        <w:tc>
          <w:tcPr>
            <w:tcW w:w="3403" w:type="dxa"/>
            <w:shd w:val="clear" w:color="auto" w:fill="BFBFBF" w:themeFill="background1" w:themeFillShade="BF"/>
            <w:vAlign w:val="center"/>
          </w:tcPr>
          <w:p w14:paraId="12521D50" w14:textId="3FC930C1" w:rsidR="00791642" w:rsidRPr="00882976" w:rsidRDefault="00791642" w:rsidP="00791642">
            <w:pPr>
              <w:pStyle w:val="NoSpacing"/>
              <w:rPr>
                <w:rFonts w:cs="Arial"/>
                <w:b/>
                <w:szCs w:val="24"/>
              </w:rPr>
            </w:pPr>
            <w:r w:rsidRPr="00882976">
              <w:rPr>
                <w:rFonts w:cs="Arial"/>
                <w:b/>
                <w:szCs w:val="24"/>
              </w:rPr>
              <w:t>Total change to forecast of spending</w:t>
            </w:r>
          </w:p>
        </w:tc>
        <w:tc>
          <w:tcPr>
            <w:tcW w:w="1284" w:type="dxa"/>
            <w:shd w:val="clear" w:color="auto" w:fill="BFBFBF" w:themeFill="background1" w:themeFillShade="BF"/>
            <w:vAlign w:val="center"/>
          </w:tcPr>
          <w:p w14:paraId="733B48F8" w14:textId="15F69621" w:rsidR="00791642" w:rsidRPr="00882976" w:rsidRDefault="000740AB" w:rsidP="006957EF">
            <w:pPr>
              <w:pStyle w:val="NoSpacing"/>
              <w:jc w:val="center"/>
              <w:rPr>
                <w:rFonts w:cs="Arial"/>
                <w:b/>
                <w:szCs w:val="24"/>
              </w:rPr>
            </w:pPr>
            <w:r>
              <w:rPr>
                <w:rFonts w:cs="Arial"/>
                <w:b/>
                <w:szCs w:val="24"/>
              </w:rPr>
              <w:t>-0.518</w:t>
            </w:r>
          </w:p>
        </w:tc>
        <w:tc>
          <w:tcPr>
            <w:tcW w:w="1284" w:type="dxa"/>
            <w:shd w:val="clear" w:color="auto" w:fill="BFBFBF" w:themeFill="background1" w:themeFillShade="BF"/>
            <w:vAlign w:val="center"/>
          </w:tcPr>
          <w:p w14:paraId="446B5A2A" w14:textId="2EA6A6CD" w:rsidR="00791642" w:rsidRPr="00882976" w:rsidRDefault="00EA5023" w:rsidP="00791642">
            <w:pPr>
              <w:pStyle w:val="NoSpacing"/>
              <w:jc w:val="center"/>
              <w:rPr>
                <w:rFonts w:cs="Arial"/>
                <w:b/>
                <w:szCs w:val="24"/>
              </w:rPr>
            </w:pPr>
            <w:r>
              <w:rPr>
                <w:rFonts w:cs="Arial"/>
                <w:b/>
                <w:szCs w:val="24"/>
              </w:rPr>
              <w:t>-0.357</w:t>
            </w:r>
          </w:p>
        </w:tc>
        <w:tc>
          <w:tcPr>
            <w:tcW w:w="1284" w:type="dxa"/>
            <w:shd w:val="clear" w:color="auto" w:fill="BFBFBF" w:themeFill="background1" w:themeFillShade="BF"/>
            <w:vAlign w:val="center"/>
          </w:tcPr>
          <w:p w14:paraId="656ED1B3" w14:textId="73FC7A5F" w:rsidR="00791642" w:rsidRPr="00882976" w:rsidRDefault="00EA5023" w:rsidP="00791642">
            <w:pPr>
              <w:pStyle w:val="NoSpacing"/>
              <w:jc w:val="center"/>
              <w:rPr>
                <w:rFonts w:cs="Arial"/>
                <w:b/>
                <w:szCs w:val="24"/>
              </w:rPr>
            </w:pPr>
            <w:r>
              <w:rPr>
                <w:rFonts w:cs="Arial"/>
                <w:b/>
                <w:szCs w:val="24"/>
              </w:rPr>
              <w:t>-0.131</w:t>
            </w:r>
          </w:p>
        </w:tc>
        <w:tc>
          <w:tcPr>
            <w:tcW w:w="1284" w:type="dxa"/>
            <w:shd w:val="clear" w:color="auto" w:fill="BFBFBF" w:themeFill="background1" w:themeFillShade="BF"/>
            <w:vAlign w:val="center"/>
          </w:tcPr>
          <w:p w14:paraId="676FB510" w14:textId="7A48EAFC" w:rsidR="00791642" w:rsidRPr="00882976" w:rsidRDefault="00EA5023" w:rsidP="00791642">
            <w:pPr>
              <w:pStyle w:val="NoSpacing"/>
              <w:jc w:val="center"/>
              <w:rPr>
                <w:rFonts w:cs="Arial"/>
                <w:b/>
                <w:szCs w:val="24"/>
              </w:rPr>
            </w:pPr>
            <w:r>
              <w:rPr>
                <w:rFonts w:cs="Arial"/>
                <w:b/>
                <w:szCs w:val="24"/>
              </w:rPr>
              <w:t>0.145</w:t>
            </w:r>
          </w:p>
        </w:tc>
        <w:tc>
          <w:tcPr>
            <w:tcW w:w="1284" w:type="dxa"/>
            <w:shd w:val="clear" w:color="auto" w:fill="BFBFBF" w:themeFill="background1" w:themeFillShade="BF"/>
            <w:vAlign w:val="center"/>
          </w:tcPr>
          <w:p w14:paraId="43821C60" w14:textId="6EA3489F" w:rsidR="00791642" w:rsidRPr="00882976" w:rsidRDefault="00796877" w:rsidP="001E485A">
            <w:pPr>
              <w:pStyle w:val="NoSpacing"/>
              <w:jc w:val="center"/>
              <w:rPr>
                <w:rFonts w:cs="Arial"/>
                <w:b/>
                <w:szCs w:val="24"/>
              </w:rPr>
            </w:pPr>
            <w:r>
              <w:rPr>
                <w:rFonts w:cs="Arial"/>
                <w:b/>
                <w:szCs w:val="24"/>
              </w:rPr>
              <w:t>-0.861</w:t>
            </w:r>
          </w:p>
        </w:tc>
      </w:tr>
      <w:tr w:rsidR="00791642" w:rsidRPr="00882976" w14:paraId="6E9E4B4A" w14:textId="77777777" w:rsidTr="001E485A">
        <w:trPr>
          <w:trHeight w:val="290"/>
          <w:jc w:val="center"/>
        </w:trPr>
        <w:tc>
          <w:tcPr>
            <w:tcW w:w="3403" w:type="dxa"/>
            <w:shd w:val="clear" w:color="auto" w:fill="auto"/>
            <w:vAlign w:val="center"/>
          </w:tcPr>
          <w:p w14:paraId="522AD46A" w14:textId="77777777" w:rsidR="00791642" w:rsidRPr="00882976" w:rsidRDefault="00791642" w:rsidP="00791642">
            <w:pPr>
              <w:pStyle w:val="NoSpacing"/>
              <w:rPr>
                <w:rFonts w:cs="Arial"/>
                <w:b/>
                <w:szCs w:val="24"/>
              </w:rPr>
            </w:pPr>
          </w:p>
        </w:tc>
        <w:tc>
          <w:tcPr>
            <w:tcW w:w="1284" w:type="dxa"/>
            <w:shd w:val="clear" w:color="auto" w:fill="auto"/>
            <w:vAlign w:val="center"/>
          </w:tcPr>
          <w:p w14:paraId="5023DA1F"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0A73BB85"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14ED9225"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790C4B16"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67A98D4A" w14:textId="77777777" w:rsidR="00791642" w:rsidRPr="00882976" w:rsidRDefault="00791642" w:rsidP="001E485A">
            <w:pPr>
              <w:pStyle w:val="NoSpacing"/>
              <w:jc w:val="center"/>
              <w:rPr>
                <w:rFonts w:cs="Arial"/>
                <w:b/>
                <w:szCs w:val="24"/>
              </w:rPr>
            </w:pPr>
          </w:p>
        </w:tc>
      </w:tr>
      <w:tr w:rsidR="00791642" w:rsidRPr="00882976" w14:paraId="452F9361" w14:textId="77777777" w:rsidTr="001E485A">
        <w:trPr>
          <w:trHeight w:val="552"/>
          <w:jc w:val="center"/>
        </w:trPr>
        <w:tc>
          <w:tcPr>
            <w:tcW w:w="3403" w:type="dxa"/>
            <w:shd w:val="clear" w:color="auto" w:fill="auto"/>
            <w:vAlign w:val="center"/>
          </w:tcPr>
          <w:p w14:paraId="5D25191F" w14:textId="7AB827C3" w:rsidR="00791642" w:rsidRPr="00882976" w:rsidRDefault="00791642" w:rsidP="00791642">
            <w:pPr>
              <w:pStyle w:val="NoSpacing"/>
              <w:rPr>
                <w:rFonts w:cs="Arial"/>
                <w:szCs w:val="24"/>
              </w:rPr>
            </w:pPr>
            <w:r w:rsidRPr="00882976">
              <w:rPr>
                <w:rFonts w:cs="Arial"/>
                <w:szCs w:val="24"/>
              </w:rPr>
              <w:t>Funding</w:t>
            </w:r>
          </w:p>
        </w:tc>
        <w:tc>
          <w:tcPr>
            <w:tcW w:w="1284" w:type="dxa"/>
            <w:shd w:val="clear" w:color="auto" w:fill="auto"/>
            <w:vAlign w:val="center"/>
          </w:tcPr>
          <w:p w14:paraId="7341966C" w14:textId="7B1B0BFA" w:rsidR="00391A51" w:rsidRPr="00882976" w:rsidRDefault="008C0344" w:rsidP="004B6F1D">
            <w:pPr>
              <w:pStyle w:val="NoSpacing"/>
              <w:jc w:val="center"/>
              <w:rPr>
                <w:rFonts w:cs="Arial"/>
                <w:szCs w:val="24"/>
              </w:rPr>
            </w:pPr>
            <w:r>
              <w:rPr>
                <w:rFonts w:cs="Arial"/>
                <w:szCs w:val="24"/>
              </w:rPr>
              <w:t>-</w:t>
            </w:r>
            <w:r w:rsidR="00BB3B1A">
              <w:rPr>
                <w:rFonts w:cs="Arial"/>
                <w:szCs w:val="24"/>
              </w:rPr>
              <w:t>5.</w:t>
            </w:r>
            <w:r w:rsidR="004B6F1D">
              <w:rPr>
                <w:rFonts w:cs="Arial"/>
                <w:szCs w:val="24"/>
              </w:rPr>
              <w:t>787</w:t>
            </w:r>
          </w:p>
        </w:tc>
        <w:tc>
          <w:tcPr>
            <w:tcW w:w="1284" w:type="dxa"/>
            <w:shd w:val="clear" w:color="auto" w:fill="auto"/>
            <w:vAlign w:val="center"/>
          </w:tcPr>
          <w:p w14:paraId="3634971C" w14:textId="6086B8AF" w:rsidR="00791642" w:rsidRPr="00882976" w:rsidRDefault="00BB3B1A" w:rsidP="004B6F1D">
            <w:pPr>
              <w:pStyle w:val="NoSpacing"/>
              <w:jc w:val="center"/>
              <w:rPr>
                <w:rFonts w:cs="Arial"/>
                <w:szCs w:val="24"/>
              </w:rPr>
            </w:pPr>
            <w:r>
              <w:rPr>
                <w:rFonts w:cs="Arial"/>
                <w:szCs w:val="24"/>
              </w:rPr>
              <w:t>4.</w:t>
            </w:r>
            <w:r w:rsidR="004B6F1D">
              <w:rPr>
                <w:rFonts w:cs="Arial"/>
                <w:szCs w:val="24"/>
              </w:rPr>
              <w:t>977</w:t>
            </w:r>
          </w:p>
        </w:tc>
        <w:tc>
          <w:tcPr>
            <w:tcW w:w="1284" w:type="dxa"/>
            <w:shd w:val="clear" w:color="auto" w:fill="auto"/>
            <w:vAlign w:val="center"/>
          </w:tcPr>
          <w:p w14:paraId="1A95D9FA" w14:textId="6C045E38" w:rsidR="00791642" w:rsidRPr="00882976" w:rsidRDefault="00BB3B1A" w:rsidP="00791642">
            <w:pPr>
              <w:pStyle w:val="NoSpacing"/>
              <w:jc w:val="center"/>
              <w:rPr>
                <w:rFonts w:cs="Arial"/>
                <w:szCs w:val="24"/>
              </w:rPr>
            </w:pPr>
            <w:r>
              <w:rPr>
                <w:rFonts w:cs="Arial"/>
                <w:szCs w:val="24"/>
              </w:rPr>
              <w:t>-0.671</w:t>
            </w:r>
          </w:p>
        </w:tc>
        <w:tc>
          <w:tcPr>
            <w:tcW w:w="1284" w:type="dxa"/>
            <w:shd w:val="clear" w:color="auto" w:fill="auto"/>
            <w:vAlign w:val="center"/>
          </w:tcPr>
          <w:p w14:paraId="01D80645" w14:textId="6FDC3F54" w:rsidR="00791642" w:rsidRPr="00882976" w:rsidRDefault="00BB3B1A" w:rsidP="00791642">
            <w:pPr>
              <w:pStyle w:val="NoSpacing"/>
              <w:jc w:val="center"/>
              <w:rPr>
                <w:rFonts w:cs="Arial"/>
                <w:szCs w:val="24"/>
              </w:rPr>
            </w:pPr>
            <w:r>
              <w:rPr>
                <w:rFonts w:cs="Arial"/>
                <w:szCs w:val="24"/>
              </w:rPr>
              <w:t>9.598</w:t>
            </w:r>
          </w:p>
        </w:tc>
        <w:tc>
          <w:tcPr>
            <w:tcW w:w="1284" w:type="dxa"/>
            <w:shd w:val="clear" w:color="auto" w:fill="auto"/>
            <w:vAlign w:val="center"/>
          </w:tcPr>
          <w:p w14:paraId="57752C41" w14:textId="2D28B09D" w:rsidR="00791642" w:rsidRPr="00882976" w:rsidRDefault="00BB3B1A" w:rsidP="00975679">
            <w:pPr>
              <w:pStyle w:val="NoSpacing"/>
              <w:jc w:val="center"/>
              <w:rPr>
                <w:rFonts w:cs="Arial"/>
                <w:b/>
                <w:szCs w:val="24"/>
              </w:rPr>
            </w:pPr>
            <w:r>
              <w:rPr>
                <w:rFonts w:cs="Arial"/>
                <w:b/>
                <w:szCs w:val="24"/>
              </w:rPr>
              <w:t>8.117</w:t>
            </w:r>
          </w:p>
        </w:tc>
      </w:tr>
      <w:tr w:rsidR="00791642" w:rsidRPr="00882976" w14:paraId="4CD5A984" w14:textId="77777777" w:rsidTr="001E485A">
        <w:trPr>
          <w:trHeight w:val="552"/>
          <w:jc w:val="center"/>
        </w:trPr>
        <w:tc>
          <w:tcPr>
            <w:tcW w:w="3403" w:type="dxa"/>
            <w:shd w:val="clear" w:color="auto" w:fill="A6A6A6" w:themeFill="background1" w:themeFillShade="A6"/>
            <w:vAlign w:val="center"/>
          </w:tcPr>
          <w:p w14:paraId="7673977C" w14:textId="1FC3F0E6" w:rsidR="00791642" w:rsidRPr="00882976" w:rsidRDefault="00791642" w:rsidP="00791642">
            <w:pPr>
              <w:pStyle w:val="NoSpacing"/>
              <w:rPr>
                <w:rFonts w:cs="Arial"/>
                <w:b/>
                <w:szCs w:val="24"/>
              </w:rPr>
            </w:pPr>
            <w:r w:rsidRPr="00882976">
              <w:rPr>
                <w:rFonts w:cs="Arial"/>
                <w:b/>
                <w:szCs w:val="24"/>
              </w:rPr>
              <w:t>Total change to forecast of resources</w:t>
            </w:r>
          </w:p>
        </w:tc>
        <w:tc>
          <w:tcPr>
            <w:tcW w:w="1284" w:type="dxa"/>
            <w:shd w:val="clear" w:color="auto" w:fill="A6A6A6" w:themeFill="background1" w:themeFillShade="A6"/>
            <w:vAlign w:val="center"/>
          </w:tcPr>
          <w:p w14:paraId="4B876037" w14:textId="444538BA" w:rsidR="00791642" w:rsidRPr="00882976" w:rsidRDefault="00BB3B1A" w:rsidP="004B6F1D">
            <w:pPr>
              <w:pStyle w:val="NoSpacing"/>
              <w:jc w:val="center"/>
              <w:rPr>
                <w:rFonts w:cs="Arial"/>
                <w:b/>
                <w:szCs w:val="24"/>
              </w:rPr>
            </w:pPr>
            <w:r>
              <w:rPr>
                <w:rFonts w:cs="Arial"/>
                <w:b/>
                <w:szCs w:val="24"/>
              </w:rPr>
              <w:t>-5.</w:t>
            </w:r>
            <w:r w:rsidR="004B6F1D">
              <w:rPr>
                <w:rFonts w:cs="Arial"/>
                <w:b/>
                <w:szCs w:val="24"/>
              </w:rPr>
              <w:t>787</w:t>
            </w:r>
          </w:p>
        </w:tc>
        <w:tc>
          <w:tcPr>
            <w:tcW w:w="1284" w:type="dxa"/>
            <w:shd w:val="clear" w:color="auto" w:fill="A6A6A6" w:themeFill="background1" w:themeFillShade="A6"/>
            <w:vAlign w:val="center"/>
          </w:tcPr>
          <w:p w14:paraId="2382F4AD" w14:textId="1D946AD6" w:rsidR="00791642" w:rsidRPr="00882976" w:rsidRDefault="00BB3B1A" w:rsidP="004B6F1D">
            <w:pPr>
              <w:pStyle w:val="NoSpacing"/>
              <w:jc w:val="center"/>
              <w:rPr>
                <w:rFonts w:cs="Arial"/>
                <w:b/>
                <w:szCs w:val="24"/>
              </w:rPr>
            </w:pPr>
            <w:r>
              <w:rPr>
                <w:rFonts w:cs="Arial"/>
                <w:b/>
                <w:szCs w:val="24"/>
              </w:rPr>
              <w:t>4.</w:t>
            </w:r>
            <w:r w:rsidR="004B6F1D">
              <w:rPr>
                <w:rFonts w:cs="Arial"/>
                <w:b/>
                <w:szCs w:val="24"/>
              </w:rPr>
              <w:t>977</w:t>
            </w:r>
          </w:p>
        </w:tc>
        <w:tc>
          <w:tcPr>
            <w:tcW w:w="1284" w:type="dxa"/>
            <w:shd w:val="clear" w:color="auto" w:fill="A6A6A6" w:themeFill="background1" w:themeFillShade="A6"/>
            <w:vAlign w:val="center"/>
          </w:tcPr>
          <w:p w14:paraId="71F14A64" w14:textId="74D277FD" w:rsidR="00791642" w:rsidRPr="00882976" w:rsidRDefault="00BB3B1A" w:rsidP="00791642">
            <w:pPr>
              <w:pStyle w:val="NoSpacing"/>
              <w:jc w:val="center"/>
              <w:rPr>
                <w:rFonts w:cs="Arial"/>
                <w:b/>
                <w:szCs w:val="24"/>
              </w:rPr>
            </w:pPr>
            <w:r>
              <w:rPr>
                <w:rFonts w:cs="Arial"/>
                <w:b/>
                <w:szCs w:val="24"/>
              </w:rPr>
              <w:t>-0.671</w:t>
            </w:r>
          </w:p>
        </w:tc>
        <w:tc>
          <w:tcPr>
            <w:tcW w:w="1284" w:type="dxa"/>
            <w:shd w:val="clear" w:color="auto" w:fill="A6A6A6" w:themeFill="background1" w:themeFillShade="A6"/>
            <w:vAlign w:val="center"/>
          </w:tcPr>
          <w:p w14:paraId="50BFCB59" w14:textId="6B560A18" w:rsidR="00791642" w:rsidRPr="00882976" w:rsidRDefault="00BB3B1A" w:rsidP="00791642">
            <w:pPr>
              <w:pStyle w:val="NoSpacing"/>
              <w:jc w:val="center"/>
              <w:rPr>
                <w:rFonts w:cs="Arial"/>
                <w:b/>
                <w:szCs w:val="24"/>
              </w:rPr>
            </w:pPr>
            <w:r>
              <w:rPr>
                <w:rFonts w:cs="Arial"/>
                <w:b/>
                <w:szCs w:val="24"/>
              </w:rPr>
              <w:t>9.598</w:t>
            </w:r>
          </w:p>
        </w:tc>
        <w:tc>
          <w:tcPr>
            <w:tcW w:w="1284" w:type="dxa"/>
            <w:shd w:val="clear" w:color="auto" w:fill="A6A6A6" w:themeFill="background1" w:themeFillShade="A6"/>
            <w:vAlign w:val="center"/>
          </w:tcPr>
          <w:p w14:paraId="68E8FA42" w14:textId="290A9DA8" w:rsidR="00791642" w:rsidRPr="00882976" w:rsidRDefault="00BB3B1A" w:rsidP="001E485A">
            <w:pPr>
              <w:pStyle w:val="NoSpacing"/>
              <w:jc w:val="center"/>
              <w:rPr>
                <w:rFonts w:cs="Arial"/>
                <w:b/>
                <w:szCs w:val="24"/>
              </w:rPr>
            </w:pPr>
            <w:r>
              <w:rPr>
                <w:rFonts w:cs="Arial"/>
                <w:b/>
                <w:szCs w:val="24"/>
              </w:rPr>
              <w:t>8.117</w:t>
            </w:r>
          </w:p>
        </w:tc>
      </w:tr>
      <w:tr w:rsidR="00791642" w:rsidRPr="00882976" w14:paraId="7D47F75D" w14:textId="55BD09E4" w:rsidTr="001E485A">
        <w:trPr>
          <w:trHeight w:val="552"/>
          <w:jc w:val="center"/>
        </w:trPr>
        <w:tc>
          <w:tcPr>
            <w:tcW w:w="3403" w:type="dxa"/>
            <w:vAlign w:val="center"/>
          </w:tcPr>
          <w:p w14:paraId="18F268D2" w14:textId="410528C4" w:rsidR="00791642" w:rsidRPr="00882976" w:rsidRDefault="00791642" w:rsidP="00791642">
            <w:pPr>
              <w:pStyle w:val="NoSpacing"/>
              <w:rPr>
                <w:rFonts w:cs="Arial"/>
                <w:b/>
                <w:szCs w:val="24"/>
              </w:rPr>
            </w:pPr>
          </w:p>
        </w:tc>
        <w:tc>
          <w:tcPr>
            <w:tcW w:w="1284" w:type="dxa"/>
            <w:vAlign w:val="center"/>
          </w:tcPr>
          <w:p w14:paraId="26ABFD8B" w14:textId="135F1068" w:rsidR="00791642" w:rsidRPr="00882976" w:rsidRDefault="00791642" w:rsidP="00791642">
            <w:pPr>
              <w:pStyle w:val="NoSpacing"/>
              <w:jc w:val="center"/>
              <w:rPr>
                <w:rFonts w:cs="Arial"/>
                <w:szCs w:val="24"/>
              </w:rPr>
            </w:pPr>
          </w:p>
        </w:tc>
        <w:tc>
          <w:tcPr>
            <w:tcW w:w="1284" w:type="dxa"/>
            <w:vAlign w:val="center"/>
          </w:tcPr>
          <w:p w14:paraId="2F2A9700" w14:textId="2C1DEECE" w:rsidR="00791642" w:rsidRPr="00882976" w:rsidRDefault="00791642" w:rsidP="00791642">
            <w:pPr>
              <w:pStyle w:val="NoSpacing"/>
              <w:jc w:val="center"/>
              <w:rPr>
                <w:rFonts w:cs="Arial"/>
                <w:szCs w:val="24"/>
              </w:rPr>
            </w:pPr>
          </w:p>
        </w:tc>
        <w:tc>
          <w:tcPr>
            <w:tcW w:w="1284" w:type="dxa"/>
            <w:vAlign w:val="center"/>
          </w:tcPr>
          <w:p w14:paraId="0FEFA080" w14:textId="6E0AB711" w:rsidR="00791642" w:rsidRPr="00882976" w:rsidRDefault="00791642" w:rsidP="00791642">
            <w:pPr>
              <w:pStyle w:val="NoSpacing"/>
              <w:jc w:val="center"/>
              <w:rPr>
                <w:rFonts w:cs="Arial"/>
                <w:szCs w:val="24"/>
              </w:rPr>
            </w:pPr>
          </w:p>
        </w:tc>
        <w:tc>
          <w:tcPr>
            <w:tcW w:w="1284" w:type="dxa"/>
            <w:vAlign w:val="center"/>
          </w:tcPr>
          <w:p w14:paraId="76ED00E3" w14:textId="6EC09B17" w:rsidR="00791642" w:rsidRPr="00882976" w:rsidRDefault="00791642" w:rsidP="00791642">
            <w:pPr>
              <w:pStyle w:val="NoSpacing"/>
              <w:jc w:val="center"/>
              <w:rPr>
                <w:rFonts w:cs="Arial"/>
                <w:szCs w:val="24"/>
              </w:rPr>
            </w:pPr>
          </w:p>
        </w:tc>
        <w:tc>
          <w:tcPr>
            <w:tcW w:w="1284" w:type="dxa"/>
            <w:vAlign w:val="center"/>
          </w:tcPr>
          <w:p w14:paraId="50316624" w14:textId="77777777" w:rsidR="00791642" w:rsidRPr="00882976" w:rsidRDefault="00791642" w:rsidP="001E485A">
            <w:pPr>
              <w:pStyle w:val="NoSpacing"/>
              <w:jc w:val="center"/>
              <w:rPr>
                <w:rFonts w:cs="Arial"/>
                <w:b/>
                <w:szCs w:val="24"/>
              </w:rPr>
            </w:pPr>
          </w:p>
        </w:tc>
      </w:tr>
      <w:tr w:rsidR="00791642" w:rsidRPr="00882976" w14:paraId="706E2A59" w14:textId="122845A7" w:rsidTr="001E485A">
        <w:trPr>
          <w:trHeight w:val="552"/>
          <w:jc w:val="center"/>
        </w:trPr>
        <w:tc>
          <w:tcPr>
            <w:tcW w:w="3403" w:type="dxa"/>
            <w:shd w:val="clear" w:color="auto" w:fill="A6A6A6" w:themeFill="background1" w:themeFillShade="A6"/>
            <w:vAlign w:val="center"/>
          </w:tcPr>
          <w:p w14:paraId="4CE9ACC9" w14:textId="552FE98E" w:rsidR="00791642" w:rsidRPr="00882976" w:rsidRDefault="00791642" w:rsidP="00791642">
            <w:pPr>
              <w:pStyle w:val="NoSpacing"/>
              <w:rPr>
                <w:rFonts w:cs="Arial"/>
                <w:b/>
                <w:szCs w:val="24"/>
              </w:rPr>
            </w:pPr>
            <w:r w:rsidRPr="00882976">
              <w:rPr>
                <w:rFonts w:cs="Arial"/>
                <w:b/>
                <w:szCs w:val="24"/>
              </w:rPr>
              <w:t>Revised funding gap</w:t>
            </w:r>
          </w:p>
        </w:tc>
        <w:tc>
          <w:tcPr>
            <w:tcW w:w="1284" w:type="dxa"/>
            <w:shd w:val="clear" w:color="auto" w:fill="A6A6A6" w:themeFill="background1" w:themeFillShade="A6"/>
            <w:vAlign w:val="center"/>
          </w:tcPr>
          <w:p w14:paraId="3B967A8E" w14:textId="4634B78A" w:rsidR="00791642" w:rsidRPr="00882976" w:rsidRDefault="00BB3B1A" w:rsidP="00442A07">
            <w:pPr>
              <w:pStyle w:val="NoSpacing"/>
              <w:jc w:val="center"/>
              <w:rPr>
                <w:rFonts w:cs="Arial"/>
                <w:b/>
                <w:szCs w:val="24"/>
              </w:rPr>
            </w:pPr>
            <w:r>
              <w:rPr>
                <w:rFonts w:cs="Arial"/>
                <w:b/>
                <w:szCs w:val="24"/>
              </w:rPr>
              <w:t>54.</w:t>
            </w:r>
            <w:r w:rsidR="000740AB">
              <w:rPr>
                <w:rFonts w:cs="Arial"/>
                <w:b/>
                <w:szCs w:val="24"/>
              </w:rPr>
              <w:t>045</w:t>
            </w:r>
          </w:p>
        </w:tc>
        <w:tc>
          <w:tcPr>
            <w:tcW w:w="1284" w:type="dxa"/>
            <w:shd w:val="clear" w:color="auto" w:fill="A6A6A6" w:themeFill="background1" w:themeFillShade="A6"/>
            <w:vAlign w:val="center"/>
          </w:tcPr>
          <w:p w14:paraId="16E863C5" w14:textId="15CA90B4" w:rsidR="00791642" w:rsidRPr="00882976" w:rsidRDefault="004B6F1D" w:rsidP="00442A07">
            <w:pPr>
              <w:pStyle w:val="NoSpacing"/>
              <w:jc w:val="center"/>
              <w:rPr>
                <w:rFonts w:cs="Arial"/>
                <w:b/>
                <w:szCs w:val="24"/>
              </w:rPr>
            </w:pPr>
            <w:r>
              <w:rPr>
                <w:rFonts w:cs="Arial"/>
                <w:b/>
                <w:szCs w:val="24"/>
              </w:rPr>
              <w:t>31.</w:t>
            </w:r>
            <w:r w:rsidR="00442A07">
              <w:rPr>
                <w:rFonts w:cs="Arial"/>
                <w:b/>
                <w:szCs w:val="24"/>
              </w:rPr>
              <w:t>117</w:t>
            </w:r>
          </w:p>
        </w:tc>
        <w:tc>
          <w:tcPr>
            <w:tcW w:w="1284" w:type="dxa"/>
            <w:shd w:val="clear" w:color="auto" w:fill="A6A6A6" w:themeFill="background1" w:themeFillShade="A6"/>
            <w:vAlign w:val="center"/>
          </w:tcPr>
          <w:p w14:paraId="6C48294C" w14:textId="30C072D3" w:rsidR="00791642" w:rsidRPr="00882976" w:rsidRDefault="00BB3B1A" w:rsidP="00442A07">
            <w:pPr>
              <w:pStyle w:val="NoSpacing"/>
              <w:jc w:val="center"/>
              <w:rPr>
                <w:rFonts w:cs="Arial"/>
                <w:b/>
                <w:szCs w:val="24"/>
              </w:rPr>
            </w:pPr>
            <w:r>
              <w:rPr>
                <w:rFonts w:cs="Arial"/>
                <w:b/>
                <w:szCs w:val="24"/>
              </w:rPr>
              <w:t>30.</w:t>
            </w:r>
            <w:r w:rsidR="00442A07">
              <w:rPr>
                <w:rFonts w:cs="Arial"/>
                <w:b/>
                <w:szCs w:val="24"/>
              </w:rPr>
              <w:t>230</w:t>
            </w:r>
          </w:p>
        </w:tc>
        <w:tc>
          <w:tcPr>
            <w:tcW w:w="1284" w:type="dxa"/>
            <w:shd w:val="clear" w:color="auto" w:fill="A6A6A6" w:themeFill="background1" w:themeFillShade="A6"/>
            <w:vAlign w:val="center"/>
          </w:tcPr>
          <w:p w14:paraId="2765334F" w14:textId="232B91AA" w:rsidR="00791642" w:rsidRPr="00882976" w:rsidRDefault="00BB3B1A" w:rsidP="00791642">
            <w:pPr>
              <w:pStyle w:val="NoSpacing"/>
              <w:jc w:val="center"/>
              <w:rPr>
                <w:rFonts w:cs="Arial"/>
                <w:b/>
                <w:szCs w:val="24"/>
              </w:rPr>
            </w:pPr>
            <w:r>
              <w:rPr>
                <w:rFonts w:cs="Arial"/>
                <w:b/>
                <w:szCs w:val="24"/>
              </w:rPr>
              <w:t>37.997</w:t>
            </w:r>
          </w:p>
        </w:tc>
        <w:tc>
          <w:tcPr>
            <w:tcW w:w="1284" w:type="dxa"/>
            <w:shd w:val="clear" w:color="auto" w:fill="A6A6A6" w:themeFill="background1" w:themeFillShade="A6"/>
            <w:vAlign w:val="center"/>
          </w:tcPr>
          <w:p w14:paraId="2E04D197" w14:textId="40CFAD04" w:rsidR="00791642" w:rsidRPr="00882976" w:rsidRDefault="00BB3B1A" w:rsidP="00796877">
            <w:pPr>
              <w:pStyle w:val="NoSpacing"/>
              <w:jc w:val="center"/>
              <w:rPr>
                <w:rFonts w:cs="Arial"/>
                <w:b/>
                <w:szCs w:val="24"/>
              </w:rPr>
            </w:pPr>
            <w:r>
              <w:rPr>
                <w:rFonts w:cs="Arial"/>
                <w:b/>
                <w:szCs w:val="24"/>
              </w:rPr>
              <w:t>153.</w:t>
            </w:r>
            <w:r w:rsidR="00442A07">
              <w:rPr>
                <w:rFonts w:cs="Arial"/>
                <w:b/>
                <w:szCs w:val="24"/>
              </w:rPr>
              <w:t>3</w:t>
            </w:r>
            <w:r w:rsidR="00796877">
              <w:rPr>
                <w:rFonts w:cs="Arial"/>
                <w:b/>
                <w:szCs w:val="24"/>
              </w:rPr>
              <w:t>89</w:t>
            </w:r>
          </w:p>
        </w:tc>
      </w:tr>
    </w:tbl>
    <w:p w14:paraId="56EC69C4" w14:textId="77777777" w:rsidR="00EA5023" w:rsidRDefault="00EA5023" w:rsidP="007C6727">
      <w:pPr>
        <w:spacing w:after="0"/>
        <w:rPr>
          <w:rFonts w:cs="Arial"/>
          <w:b/>
          <w:highlight w:val="yellow"/>
        </w:rPr>
      </w:pPr>
    </w:p>
    <w:p w14:paraId="61416538" w14:textId="77777777" w:rsidR="00B0660A" w:rsidRPr="00882976" w:rsidRDefault="00B0660A" w:rsidP="007C6727">
      <w:pPr>
        <w:spacing w:after="0"/>
        <w:rPr>
          <w:rFonts w:cs="Arial"/>
          <w:b/>
          <w:highlight w:val="yellow"/>
        </w:rPr>
      </w:pPr>
    </w:p>
    <w:tbl>
      <w:tblPr>
        <w:tblStyle w:val="TableGrid"/>
        <w:tblW w:w="9823" w:type="dxa"/>
        <w:jc w:val="center"/>
        <w:tblLayout w:type="fixed"/>
        <w:tblLook w:val="04A0" w:firstRow="1" w:lastRow="0" w:firstColumn="1" w:lastColumn="0" w:noHBand="0" w:noVBand="1"/>
      </w:tblPr>
      <w:tblGrid>
        <w:gridCol w:w="3403"/>
        <w:gridCol w:w="1284"/>
        <w:gridCol w:w="1284"/>
        <w:gridCol w:w="1284"/>
        <w:gridCol w:w="1284"/>
        <w:gridCol w:w="1284"/>
      </w:tblGrid>
      <w:tr w:rsidR="007F6B26" w:rsidRPr="00882976" w14:paraId="487386D6" w14:textId="77777777" w:rsidTr="00BE49A6">
        <w:trPr>
          <w:trHeight w:val="593"/>
          <w:jc w:val="center"/>
        </w:trPr>
        <w:tc>
          <w:tcPr>
            <w:tcW w:w="3403" w:type="dxa"/>
            <w:shd w:val="clear" w:color="auto" w:fill="BFBFBF" w:themeFill="background1" w:themeFillShade="BF"/>
            <w:vAlign w:val="center"/>
          </w:tcPr>
          <w:p w14:paraId="203E47E1" w14:textId="5F3305F7" w:rsidR="007F6B26" w:rsidRPr="00882976" w:rsidRDefault="007F6B26" w:rsidP="00BE49A6">
            <w:pPr>
              <w:pStyle w:val="NoSpacing"/>
              <w:jc w:val="center"/>
              <w:rPr>
                <w:rFonts w:cs="Arial"/>
                <w:b/>
                <w:szCs w:val="24"/>
              </w:rPr>
            </w:pPr>
            <w:r w:rsidRPr="00882976">
              <w:rPr>
                <w:rFonts w:cs="Arial"/>
                <w:b/>
                <w:szCs w:val="24"/>
              </w:rPr>
              <w:t>Aggregated Funding Gap</w:t>
            </w:r>
          </w:p>
        </w:tc>
        <w:tc>
          <w:tcPr>
            <w:tcW w:w="1284" w:type="dxa"/>
            <w:shd w:val="clear" w:color="auto" w:fill="BFBFBF" w:themeFill="background1" w:themeFillShade="BF"/>
            <w:vAlign w:val="center"/>
          </w:tcPr>
          <w:p w14:paraId="27CD97FC" w14:textId="70BD3B89" w:rsidR="007F6B26" w:rsidRPr="00882976" w:rsidRDefault="007F6B26" w:rsidP="00BE49A6">
            <w:pPr>
              <w:pStyle w:val="NoSpacing"/>
              <w:jc w:val="center"/>
              <w:rPr>
                <w:rFonts w:cs="Arial"/>
                <w:b/>
                <w:szCs w:val="24"/>
              </w:rPr>
            </w:pPr>
          </w:p>
        </w:tc>
        <w:tc>
          <w:tcPr>
            <w:tcW w:w="1284" w:type="dxa"/>
            <w:shd w:val="clear" w:color="auto" w:fill="BFBFBF" w:themeFill="background1" w:themeFillShade="BF"/>
            <w:vAlign w:val="center"/>
          </w:tcPr>
          <w:p w14:paraId="2E4C46D3" w14:textId="361225F1" w:rsidR="007F6B26" w:rsidRPr="00882976" w:rsidRDefault="007F6B26" w:rsidP="00BE49A6">
            <w:pPr>
              <w:pStyle w:val="NoSpacing"/>
              <w:jc w:val="center"/>
              <w:rPr>
                <w:rFonts w:cs="Arial"/>
                <w:b/>
                <w:szCs w:val="24"/>
              </w:rPr>
            </w:pPr>
          </w:p>
        </w:tc>
        <w:tc>
          <w:tcPr>
            <w:tcW w:w="1284" w:type="dxa"/>
            <w:shd w:val="clear" w:color="auto" w:fill="BFBFBF" w:themeFill="background1" w:themeFillShade="BF"/>
            <w:vAlign w:val="center"/>
          </w:tcPr>
          <w:p w14:paraId="74FF0018" w14:textId="7665AFB2" w:rsidR="007F6B26" w:rsidRPr="00882976" w:rsidRDefault="007F6B26" w:rsidP="00BE49A6">
            <w:pPr>
              <w:pStyle w:val="NoSpacing"/>
              <w:jc w:val="center"/>
              <w:rPr>
                <w:rFonts w:cs="Arial"/>
                <w:b/>
                <w:szCs w:val="24"/>
              </w:rPr>
            </w:pPr>
          </w:p>
        </w:tc>
        <w:tc>
          <w:tcPr>
            <w:tcW w:w="1284" w:type="dxa"/>
            <w:shd w:val="clear" w:color="auto" w:fill="BFBFBF" w:themeFill="background1" w:themeFillShade="BF"/>
            <w:vAlign w:val="center"/>
          </w:tcPr>
          <w:p w14:paraId="02D0EC02" w14:textId="592B8A4E" w:rsidR="007F6B26" w:rsidRPr="00882976" w:rsidRDefault="007F6B26" w:rsidP="00BE49A6">
            <w:pPr>
              <w:pStyle w:val="NoSpacing"/>
              <w:jc w:val="center"/>
              <w:rPr>
                <w:rFonts w:cs="Arial"/>
                <w:b/>
                <w:szCs w:val="24"/>
              </w:rPr>
            </w:pPr>
          </w:p>
        </w:tc>
        <w:tc>
          <w:tcPr>
            <w:tcW w:w="1284" w:type="dxa"/>
            <w:shd w:val="clear" w:color="auto" w:fill="BFBFBF" w:themeFill="background1" w:themeFillShade="BF"/>
          </w:tcPr>
          <w:p w14:paraId="23FACB31" w14:textId="77777777" w:rsidR="007F6B26" w:rsidRPr="00882976" w:rsidRDefault="007F6B26" w:rsidP="00BE49A6">
            <w:pPr>
              <w:pStyle w:val="NoSpacing"/>
              <w:jc w:val="center"/>
              <w:rPr>
                <w:rFonts w:cs="Arial"/>
                <w:b/>
                <w:szCs w:val="24"/>
              </w:rPr>
            </w:pPr>
            <w:r w:rsidRPr="00882976">
              <w:rPr>
                <w:rFonts w:cs="Arial"/>
                <w:b/>
                <w:szCs w:val="24"/>
              </w:rPr>
              <w:t xml:space="preserve">Total </w:t>
            </w:r>
          </w:p>
          <w:p w14:paraId="6751CEB3" w14:textId="77777777" w:rsidR="007F6B26" w:rsidRPr="00882976" w:rsidRDefault="007F6B26" w:rsidP="00BE49A6">
            <w:pPr>
              <w:pStyle w:val="NoSpacing"/>
              <w:jc w:val="center"/>
              <w:rPr>
                <w:rFonts w:cs="Arial"/>
                <w:b/>
                <w:szCs w:val="24"/>
              </w:rPr>
            </w:pPr>
            <w:r w:rsidRPr="00882976">
              <w:rPr>
                <w:rFonts w:cs="Arial"/>
                <w:b/>
                <w:szCs w:val="24"/>
              </w:rPr>
              <w:t>£m</w:t>
            </w:r>
          </w:p>
        </w:tc>
      </w:tr>
      <w:tr w:rsidR="007F6B26" w:rsidRPr="00882976" w14:paraId="6184F566" w14:textId="77777777" w:rsidTr="00BE49A6">
        <w:trPr>
          <w:trHeight w:val="552"/>
          <w:jc w:val="center"/>
        </w:trPr>
        <w:tc>
          <w:tcPr>
            <w:tcW w:w="3403" w:type="dxa"/>
            <w:vAlign w:val="center"/>
          </w:tcPr>
          <w:p w14:paraId="4E5A1F62" w14:textId="6595FF78" w:rsidR="007F6B26" w:rsidRPr="00882976" w:rsidRDefault="007F6B26" w:rsidP="00BE49A6">
            <w:pPr>
              <w:pStyle w:val="NoSpacing"/>
              <w:rPr>
                <w:rFonts w:cs="Arial"/>
                <w:b/>
                <w:szCs w:val="24"/>
              </w:rPr>
            </w:pPr>
            <w:r w:rsidRPr="00882976">
              <w:rPr>
                <w:rFonts w:cs="Arial"/>
                <w:b/>
                <w:szCs w:val="24"/>
              </w:rPr>
              <w:t>2017/18 (£m)</w:t>
            </w:r>
          </w:p>
        </w:tc>
        <w:tc>
          <w:tcPr>
            <w:tcW w:w="1284" w:type="dxa"/>
            <w:vAlign w:val="center"/>
          </w:tcPr>
          <w:p w14:paraId="7272D4AE" w14:textId="4736FFA5" w:rsidR="007F6B26" w:rsidRPr="00882976" w:rsidRDefault="00BB3B1A" w:rsidP="00442A07">
            <w:pPr>
              <w:pStyle w:val="NoSpacing"/>
              <w:jc w:val="center"/>
              <w:rPr>
                <w:rFonts w:cs="Arial"/>
                <w:szCs w:val="24"/>
              </w:rPr>
            </w:pPr>
            <w:r>
              <w:rPr>
                <w:rFonts w:cs="Arial"/>
                <w:szCs w:val="24"/>
              </w:rPr>
              <w:t>54.</w:t>
            </w:r>
            <w:r w:rsidR="004B6F1D">
              <w:rPr>
                <w:rFonts w:cs="Arial"/>
                <w:szCs w:val="24"/>
              </w:rPr>
              <w:t>04</w:t>
            </w:r>
            <w:r w:rsidR="000B4488">
              <w:rPr>
                <w:rFonts w:cs="Arial"/>
                <w:szCs w:val="24"/>
              </w:rPr>
              <w:t>5</w:t>
            </w:r>
          </w:p>
        </w:tc>
        <w:tc>
          <w:tcPr>
            <w:tcW w:w="1284" w:type="dxa"/>
            <w:vAlign w:val="center"/>
          </w:tcPr>
          <w:p w14:paraId="3A560E7F" w14:textId="5156855A" w:rsidR="007F6B26" w:rsidRPr="00882976" w:rsidRDefault="00BB3B1A" w:rsidP="00442A07">
            <w:pPr>
              <w:pStyle w:val="NoSpacing"/>
              <w:jc w:val="center"/>
              <w:rPr>
                <w:rFonts w:cs="Arial"/>
                <w:szCs w:val="24"/>
              </w:rPr>
            </w:pPr>
            <w:r>
              <w:rPr>
                <w:rFonts w:cs="Arial"/>
                <w:szCs w:val="24"/>
              </w:rPr>
              <w:t>54.</w:t>
            </w:r>
            <w:r w:rsidR="004B6F1D">
              <w:rPr>
                <w:rFonts w:cs="Arial"/>
                <w:szCs w:val="24"/>
              </w:rPr>
              <w:t>04</w:t>
            </w:r>
            <w:r w:rsidR="000B4488">
              <w:rPr>
                <w:rFonts w:cs="Arial"/>
                <w:szCs w:val="24"/>
              </w:rPr>
              <w:t>5</w:t>
            </w:r>
          </w:p>
        </w:tc>
        <w:tc>
          <w:tcPr>
            <w:tcW w:w="1284" w:type="dxa"/>
            <w:vAlign w:val="center"/>
          </w:tcPr>
          <w:p w14:paraId="1276FE93" w14:textId="578FC22B" w:rsidR="007F6B26" w:rsidRPr="00882976" w:rsidRDefault="000B4488" w:rsidP="00442A07">
            <w:pPr>
              <w:pStyle w:val="NoSpacing"/>
              <w:jc w:val="center"/>
              <w:rPr>
                <w:rFonts w:cs="Arial"/>
                <w:szCs w:val="24"/>
              </w:rPr>
            </w:pPr>
            <w:r>
              <w:rPr>
                <w:rFonts w:cs="Arial"/>
                <w:szCs w:val="24"/>
              </w:rPr>
              <w:t>54.405</w:t>
            </w:r>
          </w:p>
        </w:tc>
        <w:tc>
          <w:tcPr>
            <w:tcW w:w="1284" w:type="dxa"/>
            <w:vAlign w:val="center"/>
          </w:tcPr>
          <w:p w14:paraId="7A10F81C" w14:textId="715E6EE1" w:rsidR="007F6B26" w:rsidRPr="00882976" w:rsidRDefault="000B4488" w:rsidP="00442A07">
            <w:pPr>
              <w:pStyle w:val="NoSpacing"/>
              <w:jc w:val="center"/>
              <w:rPr>
                <w:rFonts w:cs="Arial"/>
                <w:szCs w:val="24"/>
              </w:rPr>
            </w:pPr>
            <w:r>
              <w:rPr>
                <w:rFonts w:cs="Arial"/>
                <w:szCs w:val="24"/>
              </w:rPr>
              <w:t>54.405</w:t>
            </w:r>
          </w:p>
        </w:tc>
        <w:tc>
          <w:tcPr>
            <w:tcW w:w="1284" w:type="dxa"/>
            <w:vAlign w:val="center"/>
          </w:tcPr>
          <w:p w14:paraId="780B388A" w14:textId="32133D53" w:rsidR="007F6B26" w:rsidRPr="00882976" w:rsidRDefault="004B6F1D" w:rsidP="00442A07">
            <w:pPr>
              <w:pStyle w:val="NoSpacing"/>
              <w:jc w:val="center"/>
              <w:rPr>
                <w:rFonts w:cs="Arial"/>
                <w:b/>
                <w:szCs w:val="24"/>
              </w:rPr>
            </w:pPr>
            <w:r>
              <w:rPr>
                <w:rFonts w:cs="Arial"/>
                <w:b/>
                <w:szCs w:val="24"/>
              </w:rPr>
              <w:t>216.1</w:t>
            </w:r>
            <w:r w:rsidR="000B4488">
              <w:rPr>
                <w:rFonts w:cs="Arial"/>
                <w:b/>
                <w:szCs w:val="24"/>
              </w:rPr>
              <w:t>80</w:t>
            </w:r>
          </w:p>
        </w:tc>
      </w:tr>
      <w:tr w:rsidR="007F6B26" w:rsidRPr="00882976" w14:paraId="779DCC81" w14:textId="77777777" w:rsidTr="00BE49A6">
        <w:trPr>
          <w:trHeight w:val="552"/>
          <w:jc w:val="center"/>
        </w:trPr>
        <w:tc>
          <w:tcPr>
            <w:tcW w:w="3403" w:type="dxa"/>
            <w:vAlign w:val="center"/>
          </w:tcPr>
          <w:p w14:paraId="5BDE296B" w14:textId="4C303264" w:rsidR="007F6B26" w:rsidRPr="00882976" w:rsidRDefault="007F6B26" w:rsidP="00BE49A6">
            <w:pPr>
              <w:pStyle w:val="NoSpacing"/>
              <w:rPr>
                <w:rFonts w:cs="Arial"/>
                <w:b/>
                <w:szCs w:val="24"/>
              </w:rPr>
            </w:pPr>
            <w:r w:rsidRPr="00882976">
              <w:rPr>
                <w:rFonts w:cs="Arial"/>
                <w:b/>
                <w:szCs w:val="24"/>
              </w:rPr>
              <w:t>2018/19 (£m)</w:t>
            </w:r>
          </w:p>
        </w:tc>
        <w:tc>
          <w:tcPr>
            <w:tcW w:w="1284" w:type="dxa"/>
            <w:vAlign w:val="center"/>
          </w:tcPr>
          <w:p w14:paraId="74E7DE09" w14:textId="77777777" w:rsidR="007F6B26" w:rsidRPr="00882976" w:rsidRDefault="007F6B26" w:rsidP="00BE49A6">
            <w:pPr>
              <w:pStyle w:val="NoSpacing"/>
              <w:jc w:val="center"/>
              <w:rPr>
                <w:rFonts w:cs="Arial"/>
                <w:szCs w:val="24"/>
              </w:rPr>
            </w:pPr>
          </w:p>
        </w:tc>
        <w:tc>
          <w:tcPr>
            <w:tcW w:w="1284" w:type="dxa"/>
            <w:vAlign w:val="center"/>
          </w:tcPr>
          <w:p w14:paraId="7E3DFC3F" w14:textId="7D3F1C6E" w:rsidR="007F6B26" w:rsidRPr="00882976" w:rsidRDefault="004B6F1D" w:rsidP="00442A07">
            <w:pPr>
              <w:pStyle w:val="NoSpacing"/>
              <w:jc w:val="center"/>
              <w:rPr>
                <w:rFonts w:cs="Arial"/>
                <w:szCs w:val="24"/>
              </w:rPr>
            </w:pPr>
            <w:r>
              <w:rPr>
                <w:rFonts w:cs="Arial"/>
                <w:szCs w:val="24"/>
              </w:rPr>
              <w:t>31.11</w:t>
            </w:r>
            <w:r w:rsidR="00442A07">
              <w:rPr>
                <w:rFonts w:cs="Arial"/>
                <w:szCs w:val="24"/>
              </w:rPr>
              <w:t>7</w:t>
            </w:r>
          </w:p>
        </w:tc>
        <w:tc>
          <w:tcPr>
            <w:tcW w:w="1284" w:type="dxa"/>
            <w:vAlign w:val="center"/>
          </w:tcPr>
          <w:p w14:paraId="2B02FC31" w14:textId="7932B2CD" w:rsidR="007F6B26" w:rsidRPr="00882976" w:rsidRDefault="004B6F1D" w:rsidP="00442A07">
            <w:pPr>
              <w:pStyle w:val="NoSpacing"/>
              <w:jc w:val="center"/>
              <w:rPr>
                <w:rFonts w:cs="Arial"/>
                <w:szCs w:val="24"/>
              </w:rPr>
            </w:pPr>
            <w:r>
              <w:rPr>
                <w:rFonts w:cs="Arial"/>
                <w:szCs w:val="24"/>
              </w:rPr>
              <w:t>31.11</w:t>
            </w:r>
            <w:r w:rsidR="00442A07">
              <w:rPr>
                <w:rFonts w:cs="Arial"/>
                <w:szCs w:val="24"/>
              </w:rPr>
              <w:t>7</w:t>
            </w:r>
          </w:p>
        </w:tc>
        <w:tc>
          <w:tcPr>
            <w:tcW w:w="1284" w:type="dxa"/>
            <w:vAlign w:val="center"/>
          </w:tcPr>
          <w:p w14:paraId="2C91AEA8" w14:textId="290252A4" w:rsidR="007F6B26" w:rsidRPr="00882976" w:rsidRDefault="004B6F1D" w:rsidP="00442A07">
            <w:pPr>
              <w:pStyle w:val="NoSpacing"/>
              <w:jc w:val="center"/>
              <w:rPr>
                <w:rFonts w:cs="Arial"/>
                <w:szCs w:val="24"/>
              </w:rPr>
            </w:pPr>
            <w:r>
              <w:rPr>
                <w:rFonts w:cs="Arial"/>
                <w:szCs w:val="24"/>
              </w:rPr>
              <w:t>31.11</w:t>
            </w:r>
            <w:r w:rsidR="00442A07">
              <w:rPr>
                <w:rFonts w:cs="Arial"/>
                <w:szCs w:val="24"/>
              </w:rPr>
              <w:t>7</w:t>
            </w:r>
          </w:p>
        </w:tc>
        <w:tc>
          <w:tcPr>
            <w:tcW w:w="1284" w:type="dxa"/>
            <w:vAlign w:val="center"/>
          </w:tcPr>
          <w:p w14:paraId="6BE6281D" w14:textId="59293445" w:rsidR="007F6B26" w:rsidRPr="00882976" w:rsidRDefault="004B6F1D" w:rsidP="00442A07">
            <w:pPr>
              <w:pStyle w:val="NoSpacing"/>
              <w:contextualSpacing/>
              <w:jc w:val="center"/>
              <w:rPr>
                <w:rFonts w:cs="Arial"/>
                <w:b/>
                <w:szCs w:val="24"/>
              </w:rPr>
            </w:pPr>
            <w:r>
              <w:rPr>
                <w:rFonts w:cs="Arial"/>
                <w:b/>
                <w:szCs w:val="24"/>
              </w:rPr>
              <w:t>93.35</w:t>
            </w:r>
            <w:r w:rsidR="00442A07">
              <w:rPr>
                <w:rFonts w:cs="Arial"/>
                <w:b/>
                <w:szCs w:val="24"/>
              </w:rPr>
              <w:t>1</w:t>
            </w:r>
          </w:p>
        </w:tc>
      </w:tr>
      <w:tr w:rsidR="007F6B26" w:rsidRPr="00882976" w14:paraId="255448F9" w14:textId="77777777" w:rsidTr="00BE49A6">
        <w:trPr>
          <w:trHeight w:val="552"/>
          <w:jc w:val="center"/>
        </w:trPr>
        <w:tc>
          <w:tcPr>
            <w:tcW w:w="3403" w:type="dxa"/>
            <w:vAlign w:val="center"/>
          </w:tcPr>
          <w:p w14:paraId="7BBB6752" w14:textId="491755EA" w:rsidR="007F6B26" w:rsidRPr="00882976" w:rsidRDefault="007F6B26" w:rsidP="00BE49A6">
            <w:pPr>
              <w:pStyle w:val="NoSpacing"/>
              <w:rPr>
                <w:rFonts w:cs="Arial"/>
                <w:b/>
                <w:szCs w:val="24"/>
              </w:rPr>
            </w:pPr>
            <w:r w:rsidRPr="00882976">
              <w:rPr>
                <w:rFonts w:cs="Arial"/>
                <w:b/>
                <w:szCs w:val="24"/>
              </w:rPr>
              <w:t>2019/20 (£m)</w:t>
            </w:r>
          </w:p>
        </w:tc>
        <w:tc>
          <w:tcPr>
            <w:tcW w:w="1284" w:type="dxa"/>
            <w:vAlign w:val="center"/>
          </w:tcPr>
          <w:p w14:paraId="5F77BBBC" w14:textId="77777777" w:rsidR="007F6B26" w:rsidRPr="00882976" w:rsidRDefault="007F6B26" w:rsidP="00BE49A6">
            <w:pPr>
              <w:pStyle w:val="NoSpacing"/>
              <w:jc w:val="center"/>
              <w:rPr>
                <w:rFonts w:cs="Arial"/>
                <w:szCs w:val="24"/>
              </w:rPr>
            </w:pPr>
          </w:p>
        </w:tc>
        <w:tc>
          <w:tcPr>
            <w:tcW w:w="1284" w:type="dxa"/>
            <w:vAlign w:val="center"/>
          </w:tcPr>
          <w:p w14:paraId="0F69FA62" w14:textId="77777777" w:rsidR="007F6B26" w:rsidRPr="00882976" w:rsidRDefault="007F6B26" w:rsidP="00BE49A6">
            <w:pPr>
              <w:pStyle w:val="NoSpacing"/>
              <w:jc w:val="center"/>
              <w:rPr>
                <w:rFonts w:cs="Arial"/>
                <w:szCs w:val="24"/>
              </w:rPr>
            </w:pPr>
          </w:p>
        </w:tc>
        <w:tc>
          <w:tcPr>
            <w:tcW w:w="1284" w:type="dxa"/>
            <w:vAlign w:val="center"/>
          </w:tcPr>
          <w:p w14:paraId="6FB74855" w14:textId="1CC71AFA" w:rsidR="007F6B26" w:rsidRPr="00882976" w:rsidRDefault="00BB3B1A" w:rsidP="00442A07">
            <w:pPr>
              <w:pStyle w:val="NoSpacing"/>
              <w:jc w:val="center"/>
              <w:rPr>
                <w:rFonts w:cs="Arial"/>
                <w:szCs w:val="24"/>
              </w:rPr>
            </w:pPr>
            <w:r>
              <w:rPr>
                <w:rFonts w:cs="Arial"/>
                <w:szCs w:val="24"/>
              </w:rPr>
              <w:t>30.</w:t>
            </w:r>
            <w:r w:rsidR="004B6F1D">
              <w:rPr>
                <w:rFonts w:cs="Arial"/>
                <w:szCs w:val="24"/>
              </w:rPr>
              <w:t>2</w:t>
            </w:r>
            <w:r w:rsidR="00442A07">
              <w:rPr>
                <w:rFonts w:cs="Arial"/>
                <w:szCs w:val="24"/>
              </w:rPr>
              <w:t>30</w:t>
            </w:r>
          </w:p>
        </w:tc>
        <w:tc>
          <w:tcPr>
            <w:tcW w:w="1284" w:type="dxa"/>
            <w:vAlign w:val="center"/>
          </w:tcPr>
          <w:p w14:paraId="655ED0B3" w14:textId="1D62AF7B" w:rsidR="007F6B26" w:rsidRPr="00882976" w:rsidRDefault="00BB3B1A" w:rsidP="00442A07">
            <w:pPr>
              <w:pStyle w:val="NoSpacing"/>
              <w:jc w:val="center"/>
              <w:rPr>
                <w:rFonts w:cs="Arial"/>
                <w:szCs w:val="24"/>
              </w:rPr>
            </w:pPr>
            <w:r>
              <w:rPr>
                <w:rFonts w:cs="Arial"/>
                <w:szCs w:val="24"/>
              </w:rPr>
              <w:t>30.</w:t>
            </w:r>
            <w:r w:rsidR="004B6F1D">
              <w:rPr>
                <w:rFonts w:cs="Arial"/>
                <w:szCs w:val="24"/>
              </w:rPr>
              <w:t>2</w:t>
            </w:r>
            <w:r w:rsidR="00442A07">
              <w:rPr>
                <w:rFonts w:cs="Arial"/>
                <w:szCs w:val="24"/>
              </w:rPr>
              <w:t>30</w:t>
            </w:r>
          </w:p>
        </w:tc>
        <w:tc>
          <w:tcPr>
            <w:tcW w:w="1284" w:type="dxa"/>
            <w:vAlign w:val="center"/>
          </w:tcPr>
          <w:p w14:paraId="01794B8E" w14:textId="6DF2C02C" w:rsidR="007F6B26" w:rsidRPr="00882976" w:rsidRDefault="004B6F1D" w:rsidP="00442A07">
            <w:pPr>
              <w:pStyle w:val="NoSpacing"/>
              <w:jc w:val="center"/>
              <w:rPr>
                <w:rFonts w:cs="Arial"/>
                <w:b/>
                <w:szCs w:val="24"/>
              </w:rPr>
            </w:pPr>
            <w:r>
              <w:rPr>
                <w:rFonts w:cs="Arial"/>
                <w:b/>
                <w:szCs w:val="24"/>
              </w:rPr>
              <w:t>60.4</w:t>
            </w:r>
            <w:r w:rsidR="00442A07">
              <w:rPr>
                <w:rFonts w:cs="Arial"/>
                <w:b/>
                <w:szCs w:val="24"/>
              </w:rPr>
              <w:t>60</w:t>
            </w:r>
          </w:p>
        </w:tc>
      </w:tr>
      <w:tr w:rsidR="007F6B26" w:rsidRPr="00882976" w14:paraId="42446A84" w14:textId="77777777" w:rsidTr="00BE49A6">
        <w:trPr>
          <w:trHeight w:val="552"/>
          <w:jc w:val="center"/>
        </w:trPr>
        <w:tc>
          <w:tcPr>
            <w:tcW w:w="3403" w:type="dxa"/>
            <w:vAlign w:val="center"/>
          </w:tcPr>
          <w:p w14:paraId="2D804FC0" w14:textId="230A76FC" w:rsidR="007F6B26" w:rsidRPr="00882976" w:rsidRDefault="007F6B26" w:rsidP="00BE49A6">
            <w:pPr>
              <w:pStyle w:val="NoSpacing"/>
              <w:rPr>
                <w:rFonts w:cs="Arial"/>
                <w:b/>
                <w:szCs w:val="24"/>
              </w:rPr>
            </w:pPr>
            <w:r w:rsidRPr="00882976">
              <w:rPr>
                <w:rFonts w:cs="Arial"/>
                <w:b/>
                <w:szCs w:val="24"/>
              </w:rPr>
              <w:t>2020/21 (£m)</w:t>
            </w:r>
          </w:p>
        </w:tc>
        <w:tc>
          <w:tcPr>
            <w:tcW w:w="1284" w:type="dxa"/>
            <w:vAlign w:val="center"/>
          </w:tcPr>
          <w:p w14:paraId="2E804F2E" w14:textId="77777777" w:rsidR="007F6B26" w:rsidRPr="00882976" w:rsidRDefault="007F6B26" w:rsidP="00BE49A6">
            <w:pPr>
              <w:pStyle w:val="NoSpacing"/>
              <w:jc w:val="center"/>
              <w:rPr>
                <w:rFonts w:cs="Arial"/>
                <w:szCs w:val="24"/>
              </w:rPr>
            </w:pPr>
          </w:p>
        </w:tc>
        <w:tc>
          <w:tcPr>
            <w:tcW w:w="1284" w:type="dxa"/>
            <w:vAlign w:val="center"/>
          </w:tcPr>
          <w:p w14:paraId="0B6A726A" w14:textId="77777777" w:rsidR="007F6B26" w:rsidRPr="00882976" w:rsidRDefault="007F6B26" w:rsidP="00BE49A6">
            <w:pPr>
              <w:pStyle w:val="NoSpacing"/>
              <w:jc w:val="center"/>
              <w:rPr>
                <w:rFonts w:cs="Arial"/>
                <w:szCs w:val="24"/>
              </w:rPr>
            </w:pPr>
          </w:p>
        </w:tc>
        <w:tc>
          <w:tcPr>
            <w:tcW w:w="1284" w:type="dxa"/>
            <w:vAlign w:val="center"/>
          </w:tcPr>
          <w:p w14:paraId="0DB40E69" w14:textId="77777777" w:rsidR="007F6B26" w:rsidRPr="00882976" w:rsidRDefault="007F6B26" w:rsidP="00BE49A6">
            <w:pPr>
              <w:pStyle w:val="NoSpacing"/>
              <w:jc w:val="center"/>
              <w:rPr>
                <w:rFonts w:cs="Arial"/>
                <w:szCs w:val="24"/>
              </w:rPr>
            </w:pPr>
          </w:p>
        </w:tc>
        <w:tc>
          <w:tcPr>
            <w:tcW w:w="1284" w:type="dxa"/>
            <w:vAlign w:val="center"/>
          </w:tcPr>
          <w:p w14:paraId="4F998F53" w14:textId="2D802A0A" w:rsidR="007F6B26" w:rsidRPr="00882976" w:rsidRDefault="00BB3B1A" w:rsidP="00BE49A6">
            <w:pPr>
              <w:pStyle w:val="NoSpacing"/>
              <w:jc w:val="center"/>
              <w:rPr>
                <w:rFonts w:cs="Arial"/>
                <w:szCs w:val="24"/>
              </w:rPr>
            </w:pPr>
            <w:r>
              <w:rPr>
                <w:rFonts w:cs="Arial"/>
                <w:szCs w:val="24"/>
              </w:rPr>
              <w:t>37.997</w:t>
            </w:r>
          </w:p>
        </w:tc>
        <w:tc>
          <w:tcPr>
            <w:tcW w:w="1284" w:type="dxa"/>
            <w:vAlign w:val="center"/>
          </w:tcPr>
          <w:p w14:paraId="511C35AF" w14:textId="14C3448F" w:rsidR="007F6B26" w:rsidRPr="00882976" w:rsidRDefault="004B6F1D" w:rsidP="00BE49A6">
            <w:pPr>
              <w:pStyle w:val="NoSpacing"/>
              <w:jc w:val="center"/>
              <w:rPr>
                <w:rFonts w:cs="Arial"/>
                <w:b/>
                <w:szCs w:val="24"/>
              </w:rPr>
            </w:pPr>
            <w:r>
              <w:rPr>
                <w:rFonts w:cs="Arial"/>
                <w:b/>
                <w:szCs w:val="24"/>
              </w:rPr>
              <w:t>37.997</w:t>
            </w:r>
          </w:p>
        </w:tc>
      </w:tr>
      <w:tr w:rsidR="007F6B26" w:rsidRPr="00882976" w14:paraId="70051844" w14:textId="77777777" w:rsidTr="00BE49A6">
        <w:trPr>
          <w:trHeight w:val="552"/>
          <w:jc w:val="center"/>
        </w:trPr>
        <w:tc>
          <w:tcPr>
            <w:tcW w:w="3403" w:type="dxa"/>
            <w:shd w:val="clear" w:color="auto" w:fill="BFBFBF" w:themeFill="background1" w:themeFillShade="BF"/>
            <w:vAlign w:val="center"/>
          </w:tcPr>
          <w:p w14:paraId="476C5E47" w14:textId="440AAEB1" w:rsidR="007F6B26" w:rsidRPr="00882976" w:rsidRDefault="007F6B26" w:rsidP="00BE49A6">
            <w:pPr>
              <w:pStyle w:val="NoSpacing"/>
              <w:rPr>
                <w:rFonts w:cs="Arial"/>
                <w:b/>
                <w:szCs w:val="24"/>
              </w:rPr>
            </w:pPr>
            <w:r w:rsidRPr="00882976">
              <w:rPr>
                <w:rFonts w:cs="Arial"/>
                <w:b/>
                <w:szCs w:val="24"/>
              </w:rPr>
              <w:t xml:space="preserve">Total </w:t>
            </w:r>
          </w:p>
        </w:tc>
        <w:tc>
          <w:tcPr>
            <w:tcW w:w="1284" w:type="dxa"/>
            <w:shd w:val="clear" w:color="auto" w:fill="BFBFBF" w:themeFill="background1" w:themeFillShade="BF"/>
            <w:vAlign w:val="center"/>
          </w:tcPr>
          <w:p w14:paraId="2369A74E" w14:textId="37D5E010" w:rsidR="007F6B26" w:rsidRPr="00882976" w:rsidRDefault="0009090A" w:rsidP="00442A07">
            <w:pPr>
              <w:pStyle w:val="NoSpacing"/>
              <w:jc w:val="center"/>
              <w:rPr>
                <w:rFonts w:cs="Arial"/>
                <w:b/>
                <w:szCs w:val="24"/>
              </w:rPr>
            </w:pPr>
            <w:r>
              <w:rPr>
                <w:rFonts w:cs="Arial"/>
                <w:b/>
                <w:szCs w:val="24"/>
              </w:rPr>
              <w:t>54.</w:t>
            </w:r>
            <w:r w:rsidR="004B6F1D">
              <w:rPr>
                <w:rFonts w:cs="Arial"/>
                <w:b/>
                <w:szCs w:val="24"/>
              </w:rPr>
              <w:t>04</w:t>
            </w:r>
            <w:r w:rsidR="000B4488">
              <w:rPr>
                <w:rFonts w:cs="Arial"/>
                <w:b/>
                <w:szCs w:val="24"/>
              </w:rPr>
              <w:t>5</w:t>
            </w:r>
          </w:p>
        </w:tc>
        <w:tc>
          <w:tcPr>
            <w:tcW w:w="1284" w:type="dxa"/>
            <w:shd w:val="clear" w:color="auto" w:fill="BFBFBF" w:themeFill="background1" w:themeFillShade="BF"/>
            <w:vAlign w:val="center"/>
          </w:tcPr>
          <w:p w14:paraId="27442930" w14:textId="11F1A8D9" w:rsidR="007F6B26" w:rsidRPr="00882976" w:rsidRDefault="0009090A" w:rsidP="004B6F1D">
            <w:pPr>
              <w:pStyle w:val="NoSpacing"/>
              <w:jc w:val="center"/>
              <w:rPr>
                <w:rFonts w:cs="Arial"/>
                <w:b/>
                <w:szCs w:val="24"/>
              </w:rPr>
            </w:pPr>
            <w:r>
              <w:rPr>
                <w:rFonts w:cs="Arial"/>
                <w:b/>
                <w:szCs w:val="24"/>
              </w:rPr>
              <w:t>85.</w:t>
            </w:r>
            <w:r w:rsidR="000B4488">
              <w:rPr>
                <w:rFonts w:cs="Arial"/>
                <w:b/>
                <w:szCs w:val="24"/>
              </w:rPr>
              <w:t>162</w:t>
            </w:r>
          </w:p>
        </w:tc>
        <w:tc>
          <w:tcPr>
            <w:tcW w:w="1284" w:type="dxa"/>
            <w:shd w:val="clear" w:color="auto" w:fill="BFBFBF" w:themeFill="background1" w:themeFillShade="BF"/>
            <w:vAlign w:val="center"/>
          </w:tcPr>
          <w:p w14:paraId="7CECE5B5" w14:textId="0C359EDC" w:rsidR="007F6B26" w:rsidRPr="00882976" w:rsidRDefault="00EA5023" w:rsidP="00442A07">
            <w:pPr>
              <w:pStyle w:val="NoSpacing"/>
              <w:jc w:val="center"/>
              <w:rPr>
                <w:rFonts w:cs="Arial"/>
                <w:b/>
                <w:szCs w:val="24"/>
              </w:rPr>
            </w:pPr>
            <w:r>
              <w:rPr>
                <w:rFonts w:cs="Arial"/>
                <w:b/>
                <w:szCs w:val="24"/>
              </w:rPr>
              <w:t>115.</w:t>
            </w:r>
            <w:r w:rsidR="0009090A">
              <w:rPr>
                <w:rFonts w:cs="Arial"/>
                <w:b/>
                <w:szCs w:val="24"/>
              </w:rPr>
              <w:t>39</w:t>
            </w:r>
            <w:r w:rsidR="000B4488">
              <w:rPr>
                <w:rFonts w:cs="Arial"/>
                <w:b/>
                <w:szCs w:val="24"/>
              </w:rPr>
              <w:t>2</w:t>
            </w:r>
          </w:p>
        </w:tc>
        <w:tc>
          <w:tcPr>
            <w:tcW w:w="1284" w:type="dxa"/>
            <w:shd w:val="clear" w:color="auto" w:fill="BFBFBF" w:themeFill="background1" w:themeFillShade="BF"/>
            <w:vAlign w:val="center"/>
          </w:tcPr>
          <w:p w14:paraId="273557B4" w14:textId="1D540F89" w:rsidR="007F6B26" w:rsidRPr="00882976" w:rsidRDefault="00EA5023" w:rsidP="000B4488">
            <w:pPr>
              <w:pStyle w:val="NoSpacing"/>
              <w:jc w:val="center"/>
              <w:rPr>
                <w:rFonts w:cs="Arial"/>
                <w:b/>
                <w:szCs w:val="24"/>
              </w:rPr>
            </w:pPr>
            <w:r>
              <w:rPr>
                <w:rFonts w:cs="Arial"/>
                <w:b/>
                <w:szCs w:val="24"/>
              </w:rPr>
              <w:t>153.</w:t>
            </w:r>
            <w:r w:rsidR="004B6F1D">
              <w:rPr>
                <w:rFonts w:cs="Arial"/>
                <w:b/>
                <w:szCs w:val="24"/>
              </w:rPr>
              <w:t>3</w:t>
            </w:r>
            <w:r w:rsidR="000B4488">
              <w:rPr>
                <w:rFonts w:cs="Arial"/>
                <w:b/>
                <w:szCs w:val="24"/>
              </w:rPr>
              <w:t>89</w:t>
            </w:r>
          </w:p>
        </w:tc>
        <w:tc>
          <w:tcPr>
            <w:tcW w:w="1284" w:type="dxa"/>
            <w:shd w:val="clear" w:color="auto" w:fill="BFBFBF" w:themeFill="background1" w:themeFillShade="BF"/>
            <w:vAlign w:val="center"/>
          </w:tcPr>
          <w:p w14:paraId="44724D1D" w14:textId="0A1E571F" w:rsidR="007F6B26" w:rsidRPr="00882976" w:rsidRDefault="004B6F1D" w:rsidP="000B4488">
            <w:pPr>
              <w:pStyle w:val="NoSpacing"/>
              <w:jc w:val="center"/>
              <w:rPr>
                <w:rFonts w:cs="Arial"/>
                <w:b/>
                <w:szCs w:val="24"/>
              </w:rPr>
            </w:pPr>
            <w:r>
              <w:rPr>
                <w:rFonts w:cs="Arial"/>
                <w:b/>
                <w:szCs w:val="24"/>
              </w:rPr>
              <w:t>407.9</w:t>
            </w:r>
            <w:r w:rsidR="000B4488">
              <w:rPr>
                <w:rFonts w:cs="Arial"/>
                <w:b/>
                <w:szCs w:val="24"/>
              </w:rPr>
              <w:t>88</w:t>
            </w:r>
          </w:p>
        </w:tc>
      </w:tr>
    </w:tbl>
    <w:p w14:paraId="0B8588DD" w14:textId="77777777" w:rsidR="0035330E" w:rsidRDefault="0035330E" w:rsidP="0035330E">
      <w:pPr>
        <w:spacing w:after="0"/>
        <w:rPr>
          <w:rFonts w:cs="Arial"/>
          <w:b/>
        </w:rPr>
      </w:pPr>
    </w:p>
    <w:p w14:paraId="24D4F1F5" w14:textId="77777777" w:rsidR="00B0660A" w:rsidRDefault="00B0660A" w:rsidP="0035330E">
      <w:pPr>
        <w:spacing w:after="0"/>
        <w:rPr>
          <w:rFonts w:cs="Arial"/>
          <w:b/>
        </w:rPr>
      </w:pPr>
    </w:p>
    <w:p w14:paraId="18530AF7" w14:textId="77777777" w:rsidR="00B0660A" w:rsidRDefault="00B0660A" w:rsidP="0035330E">
      <w:pPr>
        <w:spacing w:after="0"/>
        <w:rPr>
          <w:rFonts w:cs="Arial"/>
          <w:b/>
        </w:rPr>
      </w:pPr>
    </w:p>
    <w:p w14:paraId="44D859BB" w14:textId="77777777" w:rsidR="00B0660A" w:rsidRDefault="00B0660A" w:rsidP="0035330E">
      <w:pPr>
        <w:spacing w:after="0"/>
        <w:rPr>
          <w:rFonts w:cs="Arial"/>
          <w:b/>
        </w:rPr>
      </w:pPr>
    </w:p>
    <w:p w14:paraId="3AF73705" w14:textId="77777777" w:rsidR="00B0660A" w:rsidRDefault="00B0660A" w:rsidP="0035330E">
      <w:pPr>
        <w:spacing w:after="0"/>
        <w:rPr>
          <w:rFonts w:cs="Arial"/>
          <w:b/>
        </w:rPr>
      </w:pPr>
    </w:p>
    <w:p w14:paraId="4C999A2C" w14:textId="77777777" w:rsidR="0035330E" w:rsidRDefault="0035330E" w:rsidP="0035330E">
      <w:pPr>
        <w:spacing w:after="0"/>
        <w:rPr>
          <w:rFonts w:cs="Arial"/>
          <w:b/>
        </w:rPr>
      </w:pPr>
    </w:p>
    <w:p w14:paraId="61D31BEC" w14:textId="38F52471" w:rsidR="009215EC" w:rsidRDefault="007F6B26" w:rsidP="0016463C">
      <w:pPr>
        <w:spacing w:after="0"/>
        <w:ind w:left="567" w:hanging="567"/>
        <w:rPr>
          <w:rFonts w:cs="Arial"/>
          <w:b/>
        </w:rPr>
      </w:pPr>
      <w:r w:rsidRPr="00882976">
        <w:rPr>
          <w:rFonts w:cs="Arial"/>
          <w:b/>
        </w:rPr>
        <w:lastRenderedPageBreak/>
        <w:t>1.3</w:t>
      </w:r>
      <w:r w:rsidR="006E0BEE" w:rsidRPr="00882976">
        <w:rPr>
          <w:rFonts w:cs="Arial"/>
          <w:b/>
        </w:rPr>
        <w:t xml:space="preserve"> </w:t>
      </w:r>
      <w:r w:rsidR="0016463C">
        <w:rPr>
          <w:rFonts w:cs="Arial"/>
          <w:b/>
        </w:rPr>
        <w:t>Conclusion</w:t>
      </w:r>
    </w:p>
    <w:p w14:paraId="4F06F26B" w14:textId="77777777" w:rsidR="00990E77" w:rsidRPr="0016463C" w:rsidRDefault="00990E77" w:rsidP="0016463C">
      <w:pPr>
        <w:spacing w:after="0"/>
        <w:ind w:left="567" w:hanging="567"/>
        <w:rPr>
          <w:rFonts w:cs="Arial"/>
          <w:b/>
        </w:rPr>
      </w:pPr>
    </w:p>
    <w:p w14:paraId="05E36CC5" w14:textId="752C947A" w:rsidR="00FD51C5" w:rsidRPr="00990E77" w:rsidRDefault="009215EC" w:rsidP="001E485A">
      <w:pPr>
        <w:spacing w:after="0"/>
        <w:rPr>
          <w:rFonts w:cs="Arial"/>
        </w:rPr>
      </w:pPr>
      <w:r w:rsidRPr="00990E77">
        <w:rPr>
          <w:rFonts w:cs="Arial"/>
        </w:rPr>
        <w:t>Lancashire County Council continues to face</w:t>
      </w:r>
      <w:r w:rsidR="008150B9" w:rsidRPr="00990E77">
        <w:rPr>
          <w:rFonts w:cs="Arial"/>
        </w:rPr>
        <w:t>, as previously stated,</w:t>
      </w:r>
      <w:r w:rsidRPr="00990E77">
        <w:rPr>
          <w:rFonts w:cs="Arial"/>
        </w:rPr>
        <w:t xml:space="preserve"> an unprecedented period of financial constraint through to at least 2020/21</w:t>
      </w:r>
      <w:r w:rsidR="00522DCF" w:rsidRPr="00990E77">
        <w:rPr>
          <w:rFonts w:cs="Arial"/>
        </w:rPr>
        <w:t>.</w:t>
      </w:r>
    </w:p>
    <w:p w14:paraId="4A48F6DE" w14:textId="77777777" w:rsidR="001E485A" w:rsidRPr="00E072C8" w:rsidRDefault="001E485A" w:rsidP="001E485A">
      <w:pPr>
        <w:spacing w:after="0"/>
        <w:rPr>
          <w:rFonts w:cs="Arial"/>
          <w:highlight w:val="yellow"/>
        </w:rPr>
      </w:pPr>
    </w:p>
    <w:p w14:paraId="18C020A8" w14:textId="33F3265B" w:rsidR="00B0660A" w:rsidRDefault="00B0660A" w:rsidP="00B0660A">
      <w:pPr>
        <w:tabs>
          <w:tab w:val="left" w:pos="0"/>
        </w:tabs>
        <w:spacing w:after="0"/>
        <w:rPr>
          <w:rFonts w:cs="Arial"/>
        </w:rPr>
      </w:pPr>
      <w:r>
        <w:rPr>
          <w:rFonts w:cs="Arial"/>
        </w:rPr>
        <w:t xml:space="preserve">The Statutory Services Budget Review undertaken by PwC and reported to Cabinet in October validated the financial position as reported through the MTFS and confirmed that even should the County Council reduce its expenditure to the median of lowest quartile by 2020/21 an in-year deficit of £79m would remain.  </w:t>
      </w:r>
    </w:p>
    <w:p w14:paraId="409B4A5E" w14:textId="77777777" w:rsidR="00B0660A" w:rsidRDefault="00B0660A" w:rsidP="00B0660A">
      <w:pPr>
        <w:tabs>
          <w:tab w:val="left" w:pos="0"/>
        </w:tabs>
        <w:spacing w:after="0"/>
        <w:rPr>
          <w:rFonts w:cs="Arial"/>
        </w:rPr>
      </w:pPr>
    </w:p>
    <w:p w14:paraId="1FE4570B" w14:textId="1DB19484" w:rsidR="00B0660A" w:rsidRDefault="00B0660A" w:rsidP="00B0660A">
      <w:pPr>
        <w:tabs>
          <w:tab w:val="left" w:pos="0"/>
        </w:tabs>
        <w:spacing w:after="0"/>
        <w:rPr>
          <w:rFonts w:cs="Arial"/>
        </w:rPr>
      </w:pPr>
      <w:r>
        <w:rPr>
          <w:rFonts w:cs="Arial"/>
        </w:rPr>
        <w:t>One of the considerations raised within the report was whether the current funding model of the Council is disproportionately contributing to the Lancashire funding gap.  The County Council has continued to lobby Central Government and relevant stakeholders regarding the extreme challenges being faced as a result of the local government finance system.</w:t>
      </w:r>
    </w:p>
    <w:p w14:paraId="5316C0FA" w14:textId="77777777" w:rsidR="00B0660A" w:rsidRDefault="00B0660A" w:rsidP="00B0660A">
      <w:pPr>
        <w:tabs>
          <w:tab w:val="left" w:pos="0"/>
        </w:tabs>
        <w:spacing w:after="0"/>
        <w:rPr>
          <w:rFonts w:cs="Arial"/>
        </w:rPr>
      </w:pPr>
    </w:p>
    <w:p w14:paraId="18CF2EF7" w14:textId="2080DDC1" w:rsidR="00B0660A" w:rsidRDefault="00B0660A" w:rsidP="00B0660A">
      <w:pPr>
        <w:spacing w:after="0"/>
        <w:rPr>
          <w:rFonts w:cs="Arial"/>
        </w:rPr>
      </w:pPr>
      <w:r w:rsidRPr="00D5521E">
        <w:rPr>
          <w:rFonts w:cs="Arial"/>
        </w:rPr>
        <w:t>Whilst the principle has been agreed of reviewing each and every continuing service using a zero based approach, with reference to our benchmark unit costs and moving towards the lowest quartile of the most appropriate comparator group, this will need to make early progress during 201</w:t>
      </w:r>
      <w:r>
        <w:rPr>
          <w:rFonts w:cs="Arial"/>
        </w:rPr>
        <w:t>7</w:t>
      </w:r>
      <w:r w:rsidRPr="00D5521E">
        <w:rPr>
          <w:rFonts w:cs="Arial"/>
        </w:rPr>
        <w:t>/1</w:t>
      </w:r>
      <w:r>
        <w:rPr>
          <w:rFonts w:cs="Arial"/>
        </w:rPr>
        <w:t>8</w:t>
      </w:r>
      <w:r w:rsidRPr="00D5521E">
        <w:rPr>
          <w:rFonts w:cs="Arial"/>
        </w:rPr>
        <w:t xml:space="preserve"> to meet the 201</w:t>
      </w:r>
      <w:r>
        <w:rPr>
          <w:rFonts w:cs="Arial"/>
        </w:rPr>
        <w:t>8</w:t>
      </w:r>
      <w:r w:rsidRPr="00D5521E">
        <w:rPr>
          <w:rFonts w:cs="Arial"/>
        </w:rPr>
        <w:t>/1</w:t>
      </w:r>
      <w:r>
        <w:rPr>
          <w:rFonts w:cs="Arial"/>
        </w:rPr>
        <w:t>9</w:t>
      </w:r>
      <w:r w:rsidRPr="00D5521E">
        <w:rPr>
          <w:rFonts w:cs="Arial"/>
        </w:rPr>
        <w:t xml:space="preserve"> shortfall and consider whether a sustainable financial position will be achievable over a longer period.  </w:t>
      </w:r>
      <w:r>
        <w:rPr>
          <w:rFonts w:cs="Arial"/>
        </w:rPr>
        <w:t xml:space="preserve">Whilst the Lancashire Public Service Deliver Model Business Case produced by PwC includes a level of estimated financial benefits along with requirement for transitional funding, at this stage it remains a proposal to go out to consultation with key partners and stakeholders and has not therefore been factored into any of the MTFS assumptions.   </w:t>
      </w:r>
    </w:p>
    <w:p w14:paraId="12132D61" w14:textId="77777777" w:rsidR="00B0660A" w:rsidRDefault="00B0660A" w:rsidP="00B0660A">
      <w:pPr>
        <w:spacing w:after="0"/>
        <w:rPr>
          <w:rFonts w:cs="Arial"/>
        </w:rPr>
      </w:pPr>
    </w:p>
    <w:p w14:paraId="04C09E2F" w14:textId="036D5441" w:rsidR="00B0660A" w:rsidRDefault="00B0660A" w:rsidP="00B0660A">
      <w:pPr>
        <w:spacing w:after="0"/>
        <w:rPr>
          <w:rFonts w:cs="Arial"/>
        </w:rPr>
      </w:pPr>
      <w:r>
        <w:rPr>
          <w:rFonts w:cs="Arial"/>
        </w:rPr>
        <w:t xml:space="preserve">It is important to note that the report prepared by PwC and presented at this meeting has been based on the MTFS </w:t>
      </w:r>
      <w:r w:rsidR="007D06DE">
        <w:rPr>
          <w:rFonts w:cs="Arial"/>
        </w:rPr>
        <w:t xml:space="preserve">position </w:t>
      </w:r>
      <w:r>
        <w:rPr>
          <w:rFonts w:cs="Arial"/>
        </w:rPr>
        <w:t>as at 30</w:t>
      </w:r>
      <w:r w:rsidRPr="00B0660A">
        <w:rPr>
          <w:rFonts w:cs="Arial"/>
          <w:vertAlign w:val="superscript"/>
        </w:rPr>
        <w:t>th</w:t>
      </w:r>
      <w:r>
        <w:rPr>
          <w:rFonts w:cs="Arial"/>
        </w:rPr>
        <w:t xml:space="preserve"> </w:t>
      </w:r>
      <w:r w:rsidR="001A059C">
        <w:rPr>
          <w:rFonts w:cs="Arial"/>
        </w:rPr>
        <w:t>June 2016</w:t>
      </w:r>
      <w:r w:rsidR="00E71A72">
        <w:rPr>
          <w:rFonts w:cs="Arial"/>
        </w:rPr>
        <w:t xml:space="preserve"> which was</w:t>
      </w:r>
      <w:r w:rsidR="001A059C">
        <w:rPr>
          <w:rFonts w:cs="Arial"/>
        </w:rPr>
        <w:t xml:space="preserve"> presented to Cabinet in September 2016.</w:t>
      </w:r>
    </w:p>
    <w:p w14:paraId="3A22619C" w14:textId="77777777" w:rsidR="00CD5C1D" w:rsidRDefault="00CD5C1D" w:rsidP="00B0660A">
      <w:pPr>
        <w:spacing w:after="0"/>
        <w:rPr>
          <w:rFonts w:cs="Arial"/>
        </w:rPr>
      </w:pPr>
    </w:p>
    <w:p w14:paraId="3FFA5397" w14:textId="77777777" w:rsidR="00CD5C1D" w:rsidRDefault="00CD5C1D" w:rsidP="00CD5C1D">
      <w:pPr>
        <w:spacing w:after="0"/>
        <w:rPr>
          <w:rFonts w:cs="Arial"/>
        </w:rPr>
      </w:pPr>
      <w:r w:rsidRPr="00882976">
        <w:rPr>
          <w:rFonts w:cs="Arial"/>
        </w:rPr>
        <w:t>As part of the process of redesigning its services the County Council has previously explicitly recognised that it will need to utilise its reserves. Details on the reserves are detailed in the Money Matters report Appendix C.  In this report it is noted that as at 1 April 2016 the County Council had £314.647m of reserves, some of which are already committed. Including the Funding Gap identified in this report, it has been identified that there is an estimated reserves requirement of £</w:t>
      </w:r>
      <w:r>
        <w:rPr>
          <w:rFonts w:cs="Arial"/>
        </w:rPr>
        <w:t>54.045</w:t>
      </w:r>
      <w:r w:rsidRPr="00882976">
        <w:rPr>
          <w:rFonts w:cs="Arial"/>
        </w:rPr>
        <w:t>m to support the revenue budget in 2017/18.  Consequently, by 31st March 2018 it is anticipated that there will only be the £36.000m Co</w:t>
      </w:r>
      <w:r>
        <w:rPr>
          <w:rFonts w:cs="Arial"/>
        </w:rPr>
        <w:t xml:space="preserve">unty Fund and a residual </w:t>
      </w:r>
      <w:r w:rsidRPr="00F023BE">
        <w:rPr>
          <w:rFonts w:cs="Arial"/>
        </w:rPr>
        <w:t>£9</w:t>
      </w:r>
      <w:r>
        <w:rPr>
          <w:rFonts w:cs="Arial"/>
        </w:rPr>
        <w:t>1.6</w:t>
      </w:r>
      <w:r w:rsidRPr="00F023BE">
        <w:rPr>
          <w:rFonts w:cs="Arial"/>
        </w:rPr>
        <w:t>99</w:t>
      </w:r>
      <w:r>
        <w:rPr>
          <w:rFonts w:cs="Arial"/>
        </w:rPr>
        <w:t>m</w:t>
      </w:r>
      <w:r w:rsidRPr="00F023BE">
        <w:rPr>
          <w:rFonts w:cs="Arial"/>
        </w:rPr>
        <w:t xml:space="preserve"> of service reserves which includes £8.354m school PFI expenditure and £4.944m which is not LCC money, meaning in effect the available balance of £78.</w:t>
      </w:r>
      <w:r>
        <w:rPr>
          <w:rFonts w:cs="Arial"/>
        </w:rPr>
        <w:t>4</w:t>
      </w:r>
      <w:r w:rsidRPr="00F023BE">
        <w:rPr>
          <w:rFonts w:cs="Arial"/>
        </w:rPr>
        <w:t xml:space="preserve">01m. All other reserves will have been spent. If the additional contribution from revenue is available of £15.298m (budget monitoring forecast underspend), this will result in a </w:t>
      </w:r>
      <w:r>
        <w:rPr>
          <w:rFonts w:cs="Arial"/>
        </w:rPr>
        <w:t xml:space="preserve">revised </w:t>
      </w:r>
      <w:r w:rsidRPr="00F023BE">
        <w:rPr>
          <w:rFonts w:cs="Arial"/>
        </w:rPr>
        <w:t>balance of service reserves being available as at 31</w:t>
      </w:r>
      <w:r w:rsidRPr="00F023BE">
        <w:rPr>
          <w:rFonts w:cs="Arial"/>
          <w:vertAlign w:val="superscript"/>
        </w:rPr>
        <w:t>st</w:t>
      </w:r>
      <w:r w:rsidRPr="00F023BE">
        <w:rPr>
          <w:rFonts w:cs="Arial"/>
        </w:rPr>
        <w:t xml:space="preserve"> March 2018 of £9</w:t>
      </w:r>
      <w:r>
        <w:rPr>
          <w:rFonts w:cs="Arial"/>
        </w:rPr>
        <w:t>3.69</w:t>
      </w:r>
      <w:r w:rsidRPr="00F023BE">
        <w:rPr>
          <w:rFonts w:cs="Arial"/>
        </w:rPr>
        <w:t>9m.</w:t>
      </w:r>
    </w:p>
    <w:p w14:paraId="23872381" w14:textId="77777777" w:rsidR="00CD5C1D" w:rsidRDefault="00CD5C1D" w:rsidP="00CD5C1D">
      <w:pPr>
        <w:spacing w:after="0"/>
        <w:rPr>
          <w:rFonts w:cs="Arial"/>
        </w:rPr>
      </w:pPr>
    </w:p>
    <w:p w14:paraId="328B429C" w14:textId="73253E90" w:rsidR="00CD5C1D" w:rsidRPr="00D4424D" w:rsidRDefault="00CD5C1D" w:rsidP="00CD5C1D">
      <w:pPr>
        <w:spacing w:after="0"/>
        <w:rPr>
          <w:rFonts w:cs="Arial"/>
          <w:highlight w:val="yellow"/>
        </w:rPr>
      </w:pPr>
      <w:r w:rsidRPr="00362FCA">
        <w:rPr>
          <w:rFonts w:cs="Arial"/>
        </w:rPr>
        <w:t>When reviewing the County Council's reserves in conjunction with the Medium Term Financial Strategy (Appendix C) the funding requirement to bridge the financial gap in 2018/19 would total £</w:t>
      </w:r>
      <w:r>
        <w:rPr>
          <w:rFonts w:cs="Arial"/>
        </w:rPr>
        <w:t>85.</w:t>
      </w:r>
      <w:r w:rsidRPr="00362FCA">
        <w:rPr>
          <w:rFonts w:cs="Arial"/>
        </w:rPr>
        <w:t>162m. Although there are reserves available at 31</w:t>
      </w:r>
      <w:r w:rsidRPr="00362FCA">
        <w:rPr>
          <w:rFonts w:cs="Arial"/>
          <w:vertAlign w:val="superscript"/>
        </w:rPr>
        <w:t>st</w:t>
      </w:r>
      <w:r w:rsidRPr="00362FCA">
        <w:rPr>
          <w:rFonts w:cs="Arial"/>
        </w:rPr>
        <w:t xml:space="preserve"> March 2018 of £</w:t>
      </w:r>
      <w:r>
        <w:rPr>
          <w:rFonts w:cs="Arial"/>
        </w:rPr>
        <w:t>93.699</w:t>
      </w:r>
      <w:r w:rsidRPr="00362FCA">
        <w:rPr>
          <w:rFonts w:cs="Arial"/>
        </w:rPr>
        <w:t>m (if the currently forecast underspend is achieved) there are commitments in 2018/19 of £10.</w:t>
      </w:r>
      <w:r>
        <w:rPr>
          <w:rFonts w:cs="Arial"/>
        </w:rPr>
        <w:t>450</w:t>
      </w:r>
      <w:r w:rsidRPr="00362FCA">
        <w:rPr>
          <w:rFonts w:cs="Arial"/>
        </w:rPr>
        <w:t xml:space="preserve">m (excluding non LCC commitments) therefore </w:t>
      </w:r>
      <w:r w:rsidRPr="00362FCA">
        <w:rPr>
          <w:rFonts w:cs="Arial"/>
        </w:rPr>
        <w:lastRenderedPageBreak/>
        <w:t>the available balance to support the 2018/19 budget is £</w:t>
      </w:r>
      <w:r>
        <w:rPr>
          <w:rFonts w:cs="Arial"/>
        </w:rPr>
        <w:t>83.249</w:t>
      </w:r>
      <w:r w:rsidRPr="00362FCA">
        <w:rPr>
          <w:rFonts w:cs="Arial"/>
        </w:rPr>
        <w:t xml:space="preserve">m resulting in there not being sufficient funds within reserves to support the 2018/19 budget. </w:t>
      </w:r>
      <w:r>
        <w:rPr>
          <w:rFonts w:cs="Arial"/>
        </w:rPr>
        <w:t xml:space="preserve">The table in Section 3 </w:t>
      </w:r>
      <w:r w:rsidR="00E71A72">
        <w:rPr>
          <w:rFonts w:cs="Arial"/>
        </w:rPr>
        <w:t xml:space="preserve">(Appendix C) </w:t>
      </w:r>
      <w:r>
        <w:rPr>
          <w:rFonts w:cs="Arial"/>
        </w:rPr>
        <w:t xml:space="preserve">clearly demonstrates that there are not sufficient </w:t>
      </w:r>
      <w:r w:rsidR="007D06DE">
        <w:rPr>
          <w:rFonts w:cs="Arial"/>
        </w:rPr>
        <w:t>reserves</w:t>
      </w:r>
      <w:r>
        <w:rPr>
          <w:rFonts w:cs="Arial"/>
        </w:rPr>
        <w:t xml:space="preserve"> to </w:t>
      </w:r>
      <w:r w:rsidR="007D06DE">
        <w:rPr>
          <w:rFonts w:cs="Arial"/>
        </w:rPr>
        <w:t>fully meet</w:t>
      </w:r>
      <w:r>
        <w:rPr>
          <w:rFonts w:cs="Arial"/>
        </w:rPr>
        <w:t xml:space="preserve"> the budget gap in 2018/19</w:t>
      </w:r>
      <w:r w:rsidR="007D06DE">
        <w:rPr>
          <w:rFonts w:cs="Arial"/>
        </w:rPr>
        <w:t>.</w:t>
      </w:r>
      <w:r>
        <w:rPr>
          <w:rFonts w:cs="Arial"/>
        </w:rPr>
        <w:t xml:space="preserve"> </w:t>
      </w:r>
    </w:p>
    <w:p w14:paraId="49A74EEA" w14:textId="77777777" w:rsidR="00CD5C1D" w:rsidRDefault="00CD5C1D" w:rsidP="00CD5C1D">
      <w:pPr>
        <w:spacing w:after="0"/>
        <w:rPr>
          <w:rFonts w:cs="Arial"/>
        </w:rPr>
      </w:pPr>
    </w:p>
    <w:p w14:paraId="3A75B14F" w14:textId="30471A60" w:rsidR="00CD5C1D" w:rsidRPr="00882976" w:rsidRDefault="00CD5C1D" w:rsidP="00CD5C1D">
      <w:pPr>
        <w:spacing w:after="0"/>
        <w:rPr>
          <w:rFonts w:cs="Arial"/>
        </w:rPr>
      </w:pPr>
      <w:r w:rsidRPr="00882976">
        <w:rPr>
          <w:rFonts w:cs="Arial"/>
        </w:rPr>
        <w:t xml:space="preserve">This position is a forecast dependent upon a number of key factors that are detailed within Appendix C. </w:t>
      </w:r>
    </w:p>
    <w:p w14:paraId="54076334" w14:textId="77777777" w:rsidR="00CD5C1D" w:rsidRDefault="00CD5C1D" w:rsidP="00B0660A">
      <w:pPr>
        <w:spacing w:after="0"/>
        <w:rPr>
          <w:rFonts w:cs="Arial"/>
          <w:i/>
        </w:rPr>
      </w:pPr>
    </w:p>
    <w:p w14:paraId="388FB710" w14:textId="77777777" w:rsidR="00FA1276" w:rsidRPr="00882976" w:rsidRDefault="00FA1276" w:rsidP="00735E90">
      <w:pPr>
        <w:tabs>
          <w:tab w:val="left" w:pos="567"/>
          <w:tab w:val="left" w:pos="1134"/>
        </w:tabs>
        <w:spacing w:after="0"/>
        <w:ind w:left="360" w:hanging="360"/>
        <w:rPr>
          <w:rFonts w:cs="Arial"/>
          <w:b/>
        </w:rPr>
      </w:pPr>
    </w:p>
    <w:p w14:paraId="7C6EB2DB" w14:textId="77777777" w:rsidR="00FA1276" w:rsidRPr="00882976" w:rsidRDefault="00FA1276" w:rsidP="00735E90">
      <w:pPr>
        <w:tabs>
          <w:tab w:val="left" w:pos="567"/>
          <w:tab w:val="left" w:pos="1134"/>
        </w:tabs>
        <w:spacing w:after="0"/>
        <w:ind w:left="360" w:hanging="360"/>
        <w:rPr>
          <w:rFonts w:cs="Arial"/>
          <w:b/>
        </w:rPr>
      </w:pPr>
    </w:p>
    <w:p w14:paraId="3DD077CA" w14:textId="77777777" w:rsidR="00FA1276" w:rsidRPr="00882976" w:rsidRDefault="00FA1276" w:rsidP="00735E90">
      <w:pPr>
        <w:tabs>
          <w:tab w:val="left" w:pos="567"/>
          <w:tab w:val="left" w:pos="1134"/>
        </w:tabs>
        <w:spacing w:after="0"/>
        <w:ind w:left="360" w:hanging="360"/>
        <w:rPr>
          <w:rFonts w:cs="Arial"/>
          <w:b/>
        </w:rPr>
      </w:pPr>
    </w:p>
    <w:p w14:paraId="01906085" w14:textId="77777777" w:rsidR="00FA1276" w:rsidRPr="00882976" w:rsidRDefault="00FA1276" w:rsidP="00735E90">
      <w:pPr>
        <w:tabs>
          <w:tab w:val="left" w:pos="567"/>
          <w:tab w:val="left" w:pos="1134"/>
        </w:tabs>
        <w:spacing w:after="0"/>
        <w:ind w:left="360" w:hanging="360"/>
        <w:rPr>
          <w:rFonts w:cs="Arial"/>
          <w:b/>
        </w:rPr>
      </w:pPr>
    </w:p>
    <w:p w14:paraId="716AAE7E" w14:textId="77777777" w:rsidR="0016463C" w:rsidRDefault="0016463C" w:rsidP="00990E77">
      <w:pPr>
        <w:tabs>
          <w:tab w:val="left" w:pos="567"/>
          <w:tab w:val="left" w:pos="1134"/>
        </w:tabs>
        <w:spacing w:after="0"/>
        <w:rPr>
          <w:rFonts w:cs="Arial"/>
          <w:b/>
        </w:rPr>
      </w:pPr>
    </w:p>
    <w:p w14:paraId="5A4E3181" w14:textId="77777777" w:rsidR="0047237E" w:rsidRDefault="0047237E" w:rsidP="00990E77">
      <w:pPr>
        <w:tabs>
          <w:tab w:val="left" w:pos="567"/>
          <w:tab w:val="left" w:pos="1134"/>
        </w:tabs>
        <w:spacing w:after="0"/>
        <w:rPr>
          <w:rFonts w:cs="Arial"/>
          <w:b/>
        </w:rPr>
      </w:pPr>
    </w:p>
    <w:p w14:paraId="5A0DCB2E" w14:textId="77777777" w:rsidR="005A53EC" w:rsidRDefault="005A53EC" w:rsidP="00990E77">
      <w:pPr>
        <w:tabs>
          <w:tab w:val="left" w:pos="567"/>
          <w:tab w:val="left" w:pos="1134"/>
        </w:tabs>
        <w:spacing w:after="0"/>
        <w:rPr>
          <w:rFonts w:cs="Arial"/>
          <w:b/>
        </w:rPr>
      </w:pPr>
    </w:p>
    <w:p w14:paraId="5E38862A" w14:textId="77777777" w:rsidR="005A53EC" w:rsidRDefault="005A53EC" w:rsidP="00990E77">
      <w:pPr>
        <w:tabs>
          <w:tab w:val="left" w:pos="567"/>
          <w:tab w:val="left" w:pos="1134"/>
        </w:tabs>
        <w:spacing w:after="0"/>
        <w:rPr>
          <w:rFonts w:cs="Arial"/>
          <w:b/>
        </w:rPr>
      </w:pPr>
    </w:p>
    <w:p w14:paraId="397FED06" w14:textId="77777777" w:rsidR="005A53EC" w:rsidRDefault="005A53EC" w:rsidP="00990E77">
      <w:pPr>
        <w:tabs>
          <w:tab w:val="left" w:pos="567"/>
          <w:tab w:val="left" w:pos="1134"/>
        </w:tabs>
        <w:spacing w:after="0"/>
        <w:rPr>
          <w:rFonts w:cs="Arial"/>
          <w:b/>
        </w:rPr>
      </w:pPr>
    </w:p>
    <w:p w14:paraId="7BB4CB01" w14:textId="77777777" w:rsidR="005A53EC" w:rsidRDefault="005A53EC" w:rsidP="00990E77">
      <w:pPr>
        <w:tabs>
          <w:tab w:val="left" w:pos="567"/>
          <w:tab w:val="left" w:pos="1134"/>
        </w:tabs>
        <w:spacing w:after="0"/>
        <w:rPr>
          <w:rFonts w:cs="Arial"/>
          <w:b/>
        </w:rPr>
      </w:pPr>
    </w:p>
    <w:p w14:paraId="61DCDEAC" w14:textId="77777777" w:rsidR="005A53EC" w:rsidRDefault="005A53EC" w:rsidP="00990E77">
      <w:pPr>
        <w:tabs>
          <w:tab w:val="left" w:pos="567"/>
          <w:tab w:val="left" w:pos="1134"/>
        </w:tabs>
        <w:spacing w:after="0"/>
        <w:rPr>
          <w:rFonts w:cs="Arial"/>
          <w:b/>
        </w:rPr>
      </w:pPr>
    </w:p>
    <w:p w14:paraId="71574951" w14:textId="77777777" w:rsidR="005A53EC" w:rsidRDefault="005A53EC" w:rsidP="00990E77">
      <w:pPr>
        <w:tabs>
          <w:tab w:val="left" w:pos="567"/>
          <w:tab w:val="left" w:pos="1134"/>
        </w:tabs>
        <w:spacing w:after="0"/>
        <w:rPr>
          <w:rFonts w:cs="Arial"/>
          <w:b/>
        </w:rPr>
      </w:pPr>
    </w:p>
    <w:p w14:paraId="3CA4AAA7" w14:textId="77777777" w:rsidR="005A53EC" w:rsidRDefault="005A53EC" w:rsidP="00990E77">
      <w:pPr>
        <w:tabs>
          <w:tab w:val="left" w:pos="567"/>
          <w:tab w:val="left" w:pos="1134"/>
        </w:tabs>
        <w:spacing w:after="0"/>
        <w:rPr>
          <w:rFonts w:cs="Arial"/>
          <w:b/>
        </w:rPr>
      </w:pPr>
    </w:p>
    <w:p w14:paraId="143396D2" w14:textId="77777777" w:rsidR="005A53EC" w:rsidRDefault="005A53EC" w:rsidP="00990E77">
      <w:pPr>
        <w:tabs>
          <w:tab w:val="left" w:pos="567"/>
          <w:tab w:val="left" w:pos="1134"/>
        </w:tabs>
        <w:spacing w:after="0"/>
        <w:rPr>
          <w:rFonts w:cs="Arial"/>
          <w:b/>
        </w:rPr>
      </w:pPr>
    </w:p>
    <w:p w14:paraId="1A2DBB13" w14:textId="77777777" w:rsidR="005A53EC" w:rsidRDefault="005A53EC" w:rsidP="00990E77">
      <w:pPr>
        <w:tabs>
          <w:tab w:val="left" w:pos="567"/>
          <w:tab w:val="left" w:pos="1134"/>
        </w:tabs>
        <w:spacing w:after="0"/>
        <w:rPr>
          <w:rFonts w:cs="Arial"/>
          <w:b/>
        </w:rPr>
      </w:pPr>
    </w:p>
    <w:p w14:paraId="39069DB9" w14:textId="77777777" w:rsidR="00B0660A" w:rsidRDefault="00B0660A" w:rsidP="00990E77">
      <w:pPr>
        <w:tabs>
          <w:tab w:val="left" w:pos="567"/>
          <w:tab w:val="left" w:pos="1134"/>
        </w:tabs>
        <w:spacing w:after="0"/>
        <w:rPr>
          <w:rFonts w:cs="Arial"/>
          <w:b/>
        </w:rPr>
      </w:pPr>
    </w:p>
    <w:p w14:paraId="5F347AFE" w14:textId="77777777" w:rsidR="00B0660A" w:rsidRDefault="00B0660A" w:rsidP="00990E77">
      <w:pPr>
        <w:tabs>
          <w:tab w:val="left" w:pos="567"/>
          <w:tab w:val="left" w:pos="1134"/>
        </w:tabs>
        <w:spacing w:after="0"/>
        <w:rPr>
          <w:rFonts w:cs="Arial"/>
          <w:b/>
        </w:rPr>
      </w:pPr>
    </w:p>
    <w:p w14:paraId="63BC5B56" w14:textId="77777777" w:rsidR="001A059C" w:rsidRDefault="001A059C" w:rsidP="00990E77">
      <w:pPr>
        <w:tabs>
          <w:tab w:val="left" w:pos="567"/>
          <w:tab w:val="left" w:pos="1134"/>
        </w:tabs>
        <w:spacing w:after="0"/>
        <w:rPr>
          <w:rFonts w:cs="Arial"/>
          <w:b/>
        </w:rPr>
      </w:pPr>
    </w:p>
    <w:p w14:paraId="1269D49F" w14:textId="77777777" w:rsidR="00CD5C1D" w:rsidRDefault="00CD5C1D" w:rsidP="00990E77">
      <w:pPr>
        <w:tabs>
          <w:tab w:val="left" w:pos="567"/>
          <w:tab w:val="left" w:pos="1134"/>
        </w:tabs>
        <w:spacing w:after="0"/>
        <w:rPr>
          <w:rFonts w:cs="Arial"/>
          <w:b/>
        </w:rPr>
      </w:pPr>
    </w:p>
    <w:p w14:paraId="010E998E" w14:textId="77777777" w:rsidR="00CD5C1D" w:rsidRDefault="00CD5C1D" w:rsidP="00990E77">
      <w:pPr>
        <w:tabs>
          <w:tab w:val="left" w:pos="567"/>
          <w:tab w:val="left" w:pos="1134"/>
        </w:tabs>
        <w:spacing w:after="0"/>
        <w:rPr>
          <w:rFonts w:cs="Arial"/>
          <w:b/>
        </w:rPr>
      </w:pPr>
    </w:p>
    <w:p w14:paraId="28257C22" w14:textId="77777777" w:rsidR="00CD5C1D" w:rsidRDefault="00CD5C1D" w:rsidP="00990E77">
      <w:pPr>
        <w:tabs>
          <w:tab w:val="left" w:pos="567"/>
          <w:tab w:val="left" w:pos="1134"/>
        </w:tabs>
        <w:spacing w:after="0"/>
        <w:rPr>
          <w:rFonts w:cs="Arial"/>
          <w:b/>
        </w:rPr>
      </w:pPr>
    </w:p>
    <w:p w14:paraId="4117E9E3" w14:textId="77777777" w:rsidR="00CD5C1D" w:rsidRDefault="00CD5C1D" w:rsidP="00990E77">
      <w:pPr>
        <w:tabs>
          <w:tab w:val="left" w:pos="567"/>
          <w:tab w:val="left" w:pos="1134"/>
        </w:tabs>
        <w:spacing w:after="0"/>
        <w:rPr>
          <w:rFonts w:cs="Arial"/>
          <w:b/>
        </w:rPr>
      </w:pPr>
    </w:p>
    <w:p w14:paraId="4D747E05" w14:textId="77777777" w:rsidR="00CD5C1D" w:rsidRDefault="00CD5C1D" w:rsidP="00990E77">
      <w:pPr>
        <w:tabs>
          <w:tab w:val="left" w:pos="567"/>
          <w:tab w:val="left" w:pos="1134"/>
        </w:tabs>
        <w:spacing w:after="0"/>
        <w:rPr>
          <w:rFonts w:cs="Arial"/>
          <w:b/>
        </w:rPr>
      </w:pPr>
    </w:p>
    <w:p w14:paraId="0913722B" w14:textId="77777777" w:rsidR="00CD5C1D" w:rsidRDefault="00CD5C1D" w:rsidP="00990E77">
      <w:pPr>
        <w:tabs>
          <w:tab w:val="left" w:pos="567"/>
          <w:tab w:val="left" w:pos="1134"/>
        </w:tabs>
        <w:spacing w:after="0"/>
        <w:rPr>
          <w:rFonts w:cs="Arial"/>
          <w:b/>
        </w:rPr>
      </w:pPr>
    </w:p>
    <w:p w14:paraId="4A0F81C2" w14:textId="77777777" w:rsidR="00CD5C1D" w:rsidRDefault="00CD5C1D" w:rsidP="00990E77">
      <w:pPr>
        <w:tabs>
          <w:tab w:val="left" w:pos="567"/>
          <w:tab w:val="left" w:pos="1134"/>
        </w:tabs>
        <w:spacing w:after="0"/>
        <w:rPr>
          <w:rFonts w:cs="Arial"/>
          <w:b/>
        </w:rPr>
      </w:pPr>
    </w:p>
    <w:p w14:paraId="4FF1DAC6" w14:textId="77777777" w:rsidR="00CD5C1D" w:rsidRDefault="00CD5C1D" w:rsidP="00990E77">
      <w:pPr>
        <w:tabs>
          <w:tab w:val="left" w:pos="567"/>
          <w:tab w:val="left" w:pos="1134"/>
        </w:tabs>
        <w:spacing w:after="0"/>
        <w:rPr>
          <w:rFonts w:cs="Arial"/>
          <w:b/>
        </w:rPr>
      </w:pPr>
    </w:p>
    <w:p w14:paraId="0C62BBF8" w14:textId="77777777" w:rsidR="00CD5C1D" w:rsidRDefault="00CD5C1D" w:rsidP="00990E77">
      <w:pPr>
        <w:tabs>
          <w:tab w:val="left" w:pos="567"/>
          <w:tab w:val="left" w:pos="1134"/>
        </w:tabs>
        <w:spacing w:after="0"/>
        <w:rPr>
          <w:rFonts w:cs="Arial"/>
          <w:b/>
        </w:rPr>
      </w:pPr>
    </w:p>
    <w:p w14:paraId="42D1CAFF" w14:textId="77777777" w:rsidR="00CD5C1D" w:rsidRDefault="00CD5C1D" w:rsidP="00990E77">
      <w:pPr>
        <w:tabs>
          <w:tab w:val="left" w:pos="567"/>
          <w:tab w:val="left" w:pos="1134"/>
        </w:tabs>
        <w:spacing w:after="0"/>
        <w:rPr>
          <w:rFonts w:cs="Arial"/>
          <w:b/>
        </w:rPr>
      </w:pPr>
    </w:p>
    <w:p w14:paraId="0565716E" w14:textId="77777777" w:rsidR="00CD5C1D" w:rsidRDefault="00CD5C1D" w:rsidP="00990E77">
      <w:pPr>
        <w:tabs>
          <w:tab w:val="left" w:pos="567"/>
          <w:tab w:val="left" w:pos="1134"/>
        </w:tabs>
        <w:spacing w:after="0"/>
        <w:rPr>
          <w:rFonts w:cs="Arial"/>
          <w:b/>
        </w:rPr>
      </w:pPr>
    </w:p>
    <w:p w14:paraId="1FBD45CE" w14:textId="77777777" w:rsidR="00CD5C1D" w:rsidRDefault="00CD5C1D" w:rsidP="00990E77">
      <w:pPr>
        <w:tabs>
          <w:tab w:val="left" w:pos="567"/>
          <w:tab w:val="left" w:pos="1134"/>
        </w:tabs>
        <w:spacing w:after="0"/>
        <w:rPr>
          <w:rFonts w:cs="Arial"/>
          <w:b/>
        </w:rPr>
      </w:pPr>
    </w:p>
    <w:p w14:paraId="3B2BB632" w14:textId="77777777" w:rsidR="00CD5C1D" w:rsidRDefault="00CD5C1D" w:rsidP="00990E77">
      <w:pPr>
        <w:tabs>
          <w:tab w:val="left" w:pos="567"/>
          <w:tab w:val="left" w:pos="1134"/>
        </w:tabs>
        <w:spacing w:after="0"/>
        <w:rPr>
          <w:rFonts w:cs="Arial"/>
          <w:b/>
        </w:rPr>
      </w:pPr>
    </w:p>
    <w:p w14:paraId="16F96526" w14:textId="77777777" w:rsidR="00CD5C1D" w:rsidRDefault="00CD5C1D" w:rsidP="00990E77">
      <w:pPr>
        <w:tabs>
          <w:tab w:val="left" w:pos="567"/>
          <w:tab w:val="left" w:pos="1134"/>
        </w:tabs>
        <w:spacing w:after="0"/>
        <w:rPr>
          <w:rFonts w:cs="Arial"/>
          <w:b/>
        </w:rPr>
      </w:pPr>
    </w:p>
    <w:p w14:paraId="78AA1321" w14:textId="77777777" w:rsidR="00CD5C1D" w:rsidRDefault="00CD5C1D" w:rsidP="00990E77">
      <w:pPr>
        <w:tabs>
          <w:tab w:val="left" w:pos="567"/>
          <w:tab w:val="left" w:pos="1134"/>
        </w:tabs>
        <w:spacing w:after="0"/>
        <w:rPr>
          <w:rFonts w:cs="Arial"/>
          <w:b/>
        </w:rPr>
      </w:pPr>
    </w:p>
    <w:p w14:paraId="2FACDF43" w14:textId="77777777" w:rsidR="00CD5C1D" w:rsidRDefault="00CD5C1D" w:rsidP="00990E77">
      <w:pPr>
        <w:tabs>
          <w:tab w:val="left" w:pos="567"/>
          <w:tab w:val="left" w:pos="1134"/>
        </w:tabs>
        <w:spacing w:after="0"/>
        <w:rPr>
          <w:rFonts w:cs="Arial"/>
          <w:b/>
        </w:rPr>
      </w:pPr>
    </w:p>
    <w:p w14:paraId="15FDD400" w14:textId="77777777" w:rsidR="00CD5C1D" w:rsidRDefault="00CD5C1D" w:rsidP="00990E77">
      <w:pPr>
        <w:tabs>
          <w:tab w:val="left" w:pos="567"/>
          <w:tab w:val="left" w:pos="1134"/>
        </w:tabs>
        <w:spacing w:after="0"/>
        <w:rPr>
          <w:rFonts w:cs="Arial"/>
          <w:b/>
        </w:rPr>
      </w:pPr>
    </w:p>
    <w:p w14:paraId="45BAC27D" w14:textId="77777777" w:rsidR="00CD5C1D" w:rsidRDefault="00CD5C1D" w:rsidP="00990E77">
      <w:pPr>
        <w:tabs>
          <w:tab w:val="left" w:pos="567"/>
          <w:tab w:val="left" w:pos="1134"/>
        </w:tabs>
        <w:spacing w:after="0"/>
        <w:rPr>
          <w:rFonts w:cs="Arial"/>
          <w:b/>
        </w:rPr>
      </w:pPr>
    </w:p>
    <w:p w14:paraId="28C421FC" w14:textId="77777777" w:rsidR="00CD5C1D" w:rsidRDefault="00CD5C1D" w:rsidP="00990E77">
      <w:pPr>
        <w:tabs>
          <w:tab w:val="left" w:pos="567"/>
          <w:tab w:val="left" w:pos="1134"/>
        </w:tabs>
        <w:spacing w:after="0"/>
        <w:rPr>
          <w:rFonts w:cs="Arial"/>
          <w:b/>
        </w:rPr>
      </w:pPr>
    </w:p>
    <w:p w14:paraId="07587B98" w14:textId="77777777" w:rsidR="00CD5C1D" w:rsidRDefault="00CD5C1D" w:rsidP="00990E77">
      <w:pPr>
        <w:tabs>
          <w:tab w:val="left" w:pos="567"/>
          <w:tab w:val="left" w:pos="1134"/>
        </w:tabs>
        <w:spacing w:after="0"/>
        <w:rPr>
          <w:rFonts w:cs="Arial"/>
          <w:b/>
        </w:rPr>
      </w:pPr>
    </w:p>
    <w:p w14:paraId="688A2ECA" w14:textId="77777777" w:rsidR="00CD5C1D" w:rsidRDefault="00CD5C1D" w:rsidP="00990E77">
      <w:pPr>
        <w:tabs>
          <w:tab w:val="left" w:pos="567"/>
          <w:tab w:val="left" w:pos="1134"/>
        </w:tabs>
        <w:spacing w:after="0"/>
        <w:rPr>
          <w:rFonts w:cs="Arial"/>
          <w:b/>
        </w:rPr>
      </w:pPr>
    </w:p>
    <w:p w14:paraId="7B5F5CDA" w14:textId="77777777" w:rsidR="00B0660A" w:rsidRDefault="00B0660A" w:rsidP="00990E77">
      <w:pPr>
        <w:tabs>
          <w:tab w:val="left" w:pos="567"/>
          <w:tab w:val="left" w:pos="1134"/>
        </w:tabs>
        <w:spacing w:after="0"/>
        <w:rPr>
          <w:rFonts w:cs="Arial"/>
          <w:b/>
        </w:rPr>
      </w:pPr>
    </w:p>
    <w:p w14:paraId="5C92923B" w14:textId="77777777" w:rsidR="006B5303" w:rsidRDefault="006B5303" w:rsidP="00990E77">
      <w:pPr>
        <w:tabs>
          <w:tab w:val="left" w:pos="567"/>
          <w:tab w:val="left" w:pos="1134"/>
        </w:tabs>
        <w:spacing w:after="0"/>
        <w:rPr>
          <w:rFonts w:cs="Arial"/>
          <w:b/>
        </w:rPr>
      </w:pPr>
    </w:p>
    <w:p w14:paraId="06C0F7A4" w14:textId="77777777" w:rsidR="008759F7" w:rsidRDefault="008759F7" w:rsidP="0016463C">
      <w:pPr>
        <w:tabs>
          <w:tab w:val="left" w:pos="567"/>
          <w:tab w:val="left" w:pos="1134"/>
        </w:tabs>
        <w:spacing w:after="0"/>
        <w:ind w:left="360" w:hanging="360"/>
        <w:rPr>
          <w:rFonts w:cs="Arial"/>
          <w:b/>
        </w:rPr>
      </w:pPr>
    </w:p>
    <w:p w14:paraId="69B47791" w14:textId="3830D70D" w:rsidR="00735E90" w:rsidRDefault="00735E90" w:rsidP="0016463C">
      <w:pPr>
        <w:tabs>
          <w:tab w:val="left" w:pos="567"/>
          <w:tab w:val="left" w:pos="1134"/>
        </w:tabs>
        <w:spacing w:after="0"/>
        <w:ind w:left="360" w:hanging="360"/>
        <w:rPr>
          <w:rFonts w:cs="Arial"/>
          <w:b/>
        </w:rPr>
      </w:pPr>
      <w:r w:rsidRPr="00882976">
        <w:rPr>
          <w:rFonts w:cs="Arial"/>
          <w:b/>
        </w:rPr>
        <w:lastRenderedPageBreak/>
        <w:t>2. Resources</w:t>
      </w:r>
      <w:r w:rsidR="0016463C">
        <w:rPr>
          <w:rFonts w:cs="Arial"/>
          <w:b/>
        </w:rPr>
        <w:t xml:space="preserve">  </w:t>
      </w:r>
    </w:p>
    <w:p w14:paraId="1113CE12" w14:textId="77777777" w:rsidR="00990E77" w:rsidRPr="00882976" w:rsidRDefault="00990E77" w:rsidP="0016463C">
      <w:pPr>
        <w:tabs>
          <w:tab w:val="left" w:pos="567"/>
          <w:tab w:val="left" w:pos="1134"/>
        </w:tabs>
        <w:spacing w:after="0"/>
        <w:ind w:left="360" w:hanging="360"/>
        <w:rPr>
          <w:rFonts w:cs="Arial"/>
          <w:b/>
        </w:rPr>
      </w:pPr>
    </w:p>
    <w:p w14:paraId="4B5BE013" w14:textId="249BDA56" w:rsidR="00735E90" w:rsidRPr="00882976" w:rsidRDefault="00BA18AB" w:rsidP="00735E90">
      <w:pPr>
        <w:tabs>
          <w:tab w:val="left" w:pos="567"/>
          <w:tab w:val="left" w:pos="1134"/>
        </w:tabs>
        <w:spacing w:after="0"/>
        <w:rPr>
          <w:rFonts w:cs="Arial"/>
        </w:rPr>
      </w:pPr>
      <w:r w:rsidRPr="00882976">
        <w:rPr>
          <w:rFonts w:cs="Arial"/>
        </w:rPr>
        <w:t>The MTFS includes</w:t>
      </w:r>
      <w:r w:rsidR="0078440C" w:rsidRPr="00882976">
        <w:rPr>
          <w:rFonts w:cs="Arial"/>
        </w:rPr>
        <w:t xml:space="preserve"> government funding based on the Secretary of State</w:t>
      </w:r>
      <w:r w:rsidRPr="00882976">
        <w:rPr>
          <w:rFonts w:cs="Arial"/>
        </w:rPr>
        <w:t>'</w:t>
      </w:r>
      <w:r w:rsidR="0078440C" w:rsidRPr="00882976">
        <w:rPr>
          <w:rFonts w:cs="Arial"/>
        </w:rPr>
        <w:t xml:space="preserve">s proposed </w:t>
      </w:r>
      <w:r w:rsidR="004C00D2" w:rsidRPr="00882976">
        <w:rPr>
          <w:rFonts w:cs="Arial"/>
        </w:rPr>
        <w:t>allocations</w:t>
      </w:r>
      <w:r w:rsidR="0078440C" w:rsidRPr="00882976">
        <w:rPr>
          <w:rFonts w:cs="Arial"/>
        </w:rPr>
        <w:t xml:space="preserve"> up to 2019/20. </w:t>
      </w:r>
    </w:p>
    <w:p w14:paraId="74062041" w14:textId="77777777" w:rsidR="00FA1276" w:rsidRPr="00882976" w:rsidRDefault="00FA1276" w:rsidP="009F2DD7">
      <w:pPr>
        <w:rPr>
          <w:rFonts w:cs="Arial"/>
        </w:rPr>
      </w:pPr>
    </w:p>
    <w:p w14:paraId="63645959" w14:textId="172CD5DA" w:rsidR="009F2DD7" w:rsidRPr="00882976" w:rsidRDefault="00FB7167" w:rsidP="009F2DD7">
      <w:pPr>
        <w:rPr>
          <w:rFonts w:cs="Arial"/>
        </w:rPr>
      </w:pPr>
      <w:r w:rsidRPr="00882976">
        <w:rPr>
          <w:rFonts w:cs="Arial"/>
        </w:rPr>
        <w:t xml:space="preserve">The MTFS approved by Cabinet in </w:t>
      </w:r>
      <w:r w:rsidR="00923E0B">
        <w:rPr>
          <w:rFonts w:cs="Arial"/>
        </w:rPr>
        <w:t>December</w:t>
      </w:r>
      <w:r w:rsidRPr="00882976">
        <w:rPr>
          <w:rFonts w:cs="Arial"/>
        </w:rPr>
        <w:t xml:space="preserve"> 2016 included the following forecast resources</w:t>
      </w:r>
      <w:r w:rsidR="009F2DD7" w:rsidRPr="00882976">
        <w:rPr>
          <w:rFonts w:cs="Arial"/>
        </w:rPr>
        <w:t>:</w:t>
      </w: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9F2DD7" w:rsidRPr="00882976" w14:paraId="65ED46C6" w14:textId="77777777" w:rsidTr="00AC67F1">
        <w:trPr>
          <w:trHeight w:val="593"/>
          <w:jc w:val="center"/>
        </w:trPr>
        <w:tc>
          <w:tcPr>
            <w:tcW w:w="3114" w:type="dxa"/>
            <w:shd w:val="clear" w:color="auto" w:fill="BFBFBF" w:themeFill="background1" w:themeFillShade="BF"/>
            <w:vAlign w:val="center"/>
          </w:tcPr>
          <w:p w14:paraId="6220C202" w14:textId="77777777" w:rsidR="009F2DD7" w:rsidRPr="00882976" w:rsidRDefault="009F2DD7" w:rsidP="00AC67F1">
            <w:pPr>
              <w:pStyle w:val="NoSpacing"/>
              <w:jc w:val="both"/>
              <w:rPr>
                <w:rFonts w:cs="Arial"/>
                <w:szCs w:val="24"/>
              </w:rPr>
            </w:pPr>
          </w:p>
        </w:tc>
        <w:tc>
          <w:tcPr>
            <w:tcW w:w="1284" w:type="dxa"/>
            <w:shd w:val="clear" w:color="auto" w:fill="BFBFBF" w:themeFill="background1" w:themeFillShade="BF"/>
            <w:vAlign w:val="center"/>
          </w:tcPr>
          <w:p w14:paraId="1DBFC489" w14:textId="77777777" w:rsidR="009F2DD7" w:rsidRPr="00882976" w:rsidRDefault="009F2DD7" w:rsidP="00AC67F1">
            <w:pPr>
              <w:pStyle w:val="NoSpacing"/>
              <w:jc w:val="center"/>
              <w:rPr>
                <w:rFonts w:cs="Arial"/>
                <w:b/>
                <w:szCs w:val="24"/>
              </w:rPr>
            </w:pPr>
            <w:r w:rsidRPr="00882976">
              <w:rPr>
                <w:rFonts w:cs="Arial"/>
                <w:b/>
                <w:szCs w:val="24"/>
              </w:rPr>
              <w:t>2017/18</w:t>
            </w:r>
          </w:p>
          <w:p w14:paraId="60E36E45" w14:textId="77777777" w:rsidR="009F2DD7" w:rsidRPr="00882976" w:rsidRDefault="009F2DD7" w:rsidP="00AC67F1">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100A373E" w14:textId="77777777" w:rsidR="009F2DD7" w:rsidRPr="00882976" w:rsidRDefault="009F2DD7" w:rsidP="00AC67F1">
            <w:pPr>
              <w:pStyle w:val="NoSpacing"/>
              <w:jc w:val="center"/>
              <w:rPr>
                <w:rFonts w:cs="Arial"/>
                <w:b/>
                <w:szCs w:val="24"/>
              </w:rPr>
            </w:pPr>
            <w:r w:rsidRPr="00882976">
              <w:rPr>
                <w:rFonts w:cs="Arial"/>
                <w:b/>
                <w:szCs w:val="24"/>
              </w:rPr>
              <w:t>2018/19</w:t>
            </w:r>
          </w:p>
          <w:p w14:paraId="72F607C2" w14:textId="77777777" w:rsidR="009F2DD7" w:rsidRPr="00882976" w:rsidRDefault="009F2DD7" w:rsidP="00AC67F1">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63948D31" w14:textId="77777777" w:rsidR="009F2DD7" w:rsidRPr="00882976" w:rsidRDefault="009F2DD7" w:rsidP="00AC67F1">
            <w:pPr>
              <w:pStyle w:val="NoSpacing"/>
              <w:jc w:val="center"/>
              <w:rPr>
                <w:rFonts w:cs="Arial"/>
                <w:b/>
                <w:szCs w:val="24"/>
              </w:rPr>
            </w:pPr>
            <w:r w:rsidRPr="00882976">
              <w:rPr>
                <w:rFonts w:cs="Arial"/>
                <w:b/>
                <w:szCs w:val="24"/>
              </w:rPr>
              <w:t>2019/20</w:t>
            </w:r>
          </w:p>
          <w:p w14:paraId="54F98A69" w14:textId="77777777" w:rsidR="009F2DD7" w:rsidRPr="00882976" w:rsidRDefault="009F2DD7" w:rsidP="00AC67F1">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043FB06B" w14:textId="77777777" w:rsidR="009F2DD7" w:rsidRPr="00882976" w:rsidRDefault="009F2DD7" w:rsidP="00AC67F1">
            <w:pPr>
              <w:pStyle w:val="NoSpacing"/>
              <w:jc w:val="center"/>
              <w:rPr>
                <w:rFonts w:cs="Arial"/>
                <w:b/>
                <w:szCs w:val="24"/>
              </w:rPr>
            </w:pPr>
            <w:r w:rsidRPr="00882976">
              <w:rPr>
                <w:rFonts w:cs="Arial"/>
                <w:b/>
                <w:szCs w:val="24"/>
              </w:rPr>
              <w:t>2020/21</w:t>
            </w:r>
          </w:p>
          <w:p w14:paraId="1A5FBD49" w14:textId="77777777" w:rsidR="009F2DD7" w:rsidRPr="00882976" w:rsidRDefault="009F2DD7" w:rsidP="00AC67F1">
            <w:pPr>
              <w:pStyle w:val="NoSpacing"/>
              <w:jc w:val="center"/>
              <w:rPr>
                <w:rFonts w:cs="Arial"/>
                <w:b/>
                <w:szCs w:val="24"/>
              </w:rPr>
            </w:pPr>
            <w:r w:rsidRPr="00882976">
              <w:rPr>
                <w:rFonts w:cs="Arial"/>
                <w:b/>
                <w:szCs w:val="24"/>
              </w:rPr>
              <w:t>£m</w:t>
            </w:r>
          </w:p>
        </w:tc>
      </w:tr>
      <w:tr w:rsidR="009F2DD7" w:rsidRPr="00882976" w14:paraId="3B4F7054" w14:textId="77777777" w:rsidTr="00AC67F1">
        <w:trPr>
          <w:trHeight w:val="552"/>
          <w:jc w:val="center"/>
        </w:trPr>
        <w:tc>
          <w:tcPr>
            <w:tcW w:w="3114" w:type="dxa"/>
            <w:vAlign w:val="center"/>
          </w:tcPr>
          <w:p w14:paraId="5AC10F0B" w14:textId="77777777" w:rsidR="009F2DD7" w:rsidRPr="00882976" w:rsidRDefault="009F2DD7" w:rsidP="00AC67F1">
            <w:pPr>
              <w:pStyle w:val="NoSpacing"/>
              <w:spacing w:line="276" w:lineRule="auto"/>
              <w:rPr>
                <w:rFonts w:cs="Arial"/>
                <w:szCs w:val="24"/>
              </w:rPr>
            </w:pPr>
            <w:r w:rsidRPr="00882976">
              <w:rPr>
                <w:rFonts w:cs="Arial"/>
                <w:szCs w:val="24"/>
              </w:rPr>
              <w:t>Revenue Support Grant</w:t>
            </w:r>
          </w:p>
        </w:tc>
        <w:tc>
          <w:tcPr>
            <w:tcW w:w="1284" w:type="dxa"/>
            <w:vAlign w:val="center"/>
          </w:tcPr>
          <w:p w14:paraId="3B6AEF2A" w14:textId="77777777" w:rsidR="009F2DD7" w:rsidRPr="00882976" w:rsidRDefault="009F2DD7" w:rsidP="00AC67F1">
            <w:pPr>
              <w:pStyle w:val="NoSpacing"/>
              <w:spacing w:line="276" w:lineRule="auto"/>
              <w:jc w:val="right"/>
              <w:rPr>
                <w:rFonts w:cs="Arial"/>
                <w:szCs w:val="24"/>
              </w:rPr>
            </w:pPr>
            <w:r w:rsidRPr="00882976">
              <w:rPr>
                <w:rFonts w:cs="Arial"/>
                <w:szCs w:val="24"/>
              </w:rPr>
              <w:t>81.508</w:t>
            </w:r>
          </w:p>
        </w:tc>
        <w:tc>
          <w:tcPr>
            <w:tcW w:w="1284" w:type="dxa"/>
            <w:vAlign w:val="center"/>
          </w:tcPr>
          <w:p w14:paraId="1065F3C1" w14:textId="77777777" w:rsidR="009F2DD7" w:rsidRPr="00882976" w:rsidRDefault="009F2DD7" w:rsidP="00AC67F1">
            <w:pPr>
              <w:pStyle w:val="NoSpacing"/>
              <w:spacing w:line="276" w:lineRule="auto"/>
              <w:jc w:val="right"/>
              <w:rPr>
                <w:rFonts w:cs="Arial"/>
                <w:szCs w:val="24"/>
              </w:rPr>
            </w:pPr>
            <w:r w:rsidRPr="00882976">
              <w:rPr>
                <w:rFonts w:cs="Arial"/>
                <w:szCs w:val="24"/>
              </w:rPr>
              <w:t>56.979</w:t>
            </w:r>
          </w:p>
        </w:tc>
        <w:tc>
          <w:tcPr>
            <w:tcW w:w="1284" w:type="dxa"/>
            <w:vAlign w:val="center"/>
          </w:tcPr>
          <w:p w14:paraId="3244F042" w14:textId="77777777" w:rsidR="009F2DD7" w:rsidRPr="00882976" w:rsidRDefault="009F2DD7" w:rsidP="00AC67F1">
            <w:pPr>
              <w:pStyle w:val="NoSpacing"/>
              <w:spacing w:line="276" w:lineRule="auto"/>
              <w:jc w:val="right"/>
              <w:rPr>
                <w:rFonts w:cs="Arial"/>
                <w:szCs w:val="24"/>
              </w:rPr>
            </w:pPr>
            <w:r w:rsidRPr="00882976">
              <w:rPr>
                <w:rFonts w:cs="Arial"/>
                <w:szCs w:val="24"/>
              </w:rPr>
              <w:t>32.894</w:t>
            </w:r>
          </w:p>
        </w:tc>
        <w:tc>
          <w:tcPr>
            <w:tcW w:w="1284" w:type="dxa"/>
            <w:vAlign w:val="center"/>
          </w:tcPr>
          <w:p w14:paraId="19C1CFD9" w14:textId="77777777" w:rsidR="009F2DD7" w:rsidRPr="00882976" w:rsidRDefault="009F2DD7" w:rsidP="00AC67F1">
            <w:pPr>
              <w:pStyle w:val="NoSpacing"/>
              <w:spacing w:line="276" w:lineRule="auto"/>
              <w:jc w:val="right"/>
              <w:rPr>
                <w:rFonts w:cs="Arial"/>
                <w:szCs w:val="24"/>
              </w:rPr>
            </w:pPr>
            <w:r w:rsidRPr="00882976">
              <w:rPr>
                <w:rFonts w:cs="Arial"/>
                <w:szCs w:val="24"/>
              </w:rPr>
              <w:t>26.928</w:t>
            </w:r>
          </w:p>
        </w:tc>
      </w:tr>
      <w:tr w:rsidR="009F2DD7" w:rsidRPr="00882976" w14:paraId="69F7397E" w14:textId="77777777" w:rsidTr="00AC67F1">
        <w:trPr>
          <w:trHeight w:val="552"/>
          <w:jc w:val="center"/>
        </w:trPr>
        <w:tc>
          <w:tcPr>
            <w:tcW w:w="3114" w:type="dxa"/>
            <w:vAlign w:val="center"/>
          </w:tcPr>
          <w:p w14:paraId="71951EB4" w14:textId="77777777" w:rsidR="009F2DD7" w:rsidRPr="00882976" w:rsidRDefault="009F2DD7" w:rsidP="00AC67F1">
            <w:pPr>
              <w:pStyle w:val="NoSpacing"/>
              <w:spacing w:line="276" w:lineRule="auto"/>
              <w:rPr>
                <w:rFonts w:cs="Arial"/>
                <w:szCs w:val="24"/>
              </w:rPr>
            </w:pPr>
            <w:r w:rsidRPr="00882976">
              <w:rPr>
                <w:rFonts w:cs="Arial"/>
                <w:szCs w:val="24"/>
              </w:rPr>
              <w:t>Business Rates</w:t>
            </w:r>
          </w:p>
        </w:tc>
        <w:tc>
          <w:tcPr>
            <w:tcW w:w="1284" w:type="dxa"/>
            <w:vAlign w:val="center"/>
          </w:tcPr>
          <w:p w14:paraId="00C7D794" w14:textId="4CD6BC27" w:rsidR="009F2DD7" w:rsidRPr="00882976" w:rsidRDefault="00FB7167" w:rsidP="00AC67F1">
            <w:pPr>
              <w:pStyle w:val="NoSpacing"/>
              <w:spacing w:line="276" w:lineRule="auto"/>
              <w:jc w:val="right"/>
              <w:rPr>
                <w:rFonts w:cs="Arial"/>
                <w:szCs w:val="24"/>
              </w:rPr>
            </w:pPr>
            <w:r w:rsidRPr="00882976">
              <w:rPr>
                <w:rFonts w:cs="Arial"/>
                <w:szCs w:val="24"/>
              </w:rPr>
              <w:t>180.861</w:t>
            </w:r>
          </w:p>
        </w:tc>
        <w:tc>
          <w:tcPr>
            <w:tcW w:w="1284" w:type="dxa"/>
            <w:vAlign w:val="center"/>
          </w:tcPr>
          <w:p w14:paraId="0DA609BB" w14:textId="73A7C8B6" w:rsidR="009F2DD7" w:rsidRPr="00882976" w:rsidRDefault="00FB7167" w:rsidP="00AC67F1">
            <w:pPr>
              <w:pStyle w:val="NoSpacing"/>
              <w:spacing w:line="276" w:lineRule="auto"/>
              <w:jc w:val="right"/>
              <w:rPr>
                <w:rFonts w:cs="Arial"/>
                <w:szCs w:val="24"/>
              </w:rPr>
            </w:pPr>
            <w:r w:rsidRPr="00882976">
              <w:rPr>
                <w:rFonts w:cs="Arial"/>
                <w:szCs w:val="24"/>
              </w:rPr>
              <w:t>186.141</w:t>
            </w:r>
          </w:p>
        </w:tc>
        <w:tc>
          <w:tcPr>
            <w:tcW w:w="1284" w:type="dxa"/>
            <w:vAlign w:val="center"/>
          </w:tcPr>
          <w:p w14:paraId="35D010EB" w14:textId="56D084FD" w:rsidR="009F2DD7" w:rsidRPr="00882976" w:rsidRDefault="00FB7167" w:rsidP="00AC67F1">
            <w:pPr>
              <w:pStyle w:val="NoSpacing"/>
              <w:spacing w:line="276" w:lineRule="auto"/>
              <w:jc w:val="right"/>
              <w:rPr>
                <w:rFonts w:cs="Arial"/>
                <w:szCs w:val="24"/>
              </w:rPr>
            </w:pPr>
            <w:r w:rsidRPr="00882976">
              <w:rPr>
                <w:rFonts w:cs="Arial"/>
                <w:szCs w:val="24"/>
              </w:rPr>
              <w:t>192.038</w:t>
            </w:r>
          </w:p>
        </w:tc>
        <w:tc>
          <w:tcPr>
            <w:tcW w:w="1284" w:type="dxa"/>
            <w:vAlign w:val="center"/>
          </w:tcPr>
          <w:p w14:paraId="0A25DF61" w14:textId="1DEBA496" w:rsidR="009F2DD7" w:rsidRPr="00882976" w:rsidRDefault="00FB7167" w:rsidP="00AC67F1">
            <w:pPr>
              <w:pStyle w:val="NoSpacing"/>
              <w:spacing w:line="276" w:lineRule="auto"/>
              <w:jc w:val="right"/>
              <w:rPr>
                <w:rFonts w:cs="Arial"/>
                <w:szCs w:val="24"/>
              </w:rPr>
            </w:pPr>
            <w:r w:rsidRPr="00882976">
              <w:rPr>
                <w:rFonts w:cs="Arial"/>
                <w:szCs w:val="24"/>
              </w:rPr>
              <w:t>197.255</w:t>
            </w:r>
          </w:p>
        </w:tc>
      </w:tr>
      <w:tr w:rsidR="009F2DD7" w:rsidRPr="00882976" w14:paraId="5D5C0E30" w14:textId="77777777" w:rsidTr="00AC67F1">
        <w:trPr>
          <w:trHeight w:val="552"/>
          <w:jc w:val="center"/>
        </w:trPr>
        <w:tc>
          <w:tcPr>
            <w:tcW w:w="3114" w:type="dxa"/>
            <w:vAlign w:val="center"/>
          </w:tcPr>
          <w:p w14:paraId="4C658BE3" w14:textId="77777777" w:rsidR="009F2DD7" w:rsidRPr="00882976" w:rsidRDefault="009F2DD7" w:rsidP="00AC67F1">
            <w:pPr>
              <w:pStyle w:val="NoSpacing"/>
              <w:spacing w:line="276" w:lineRule="auto"/>
              <w:rPr>
                <w:rFonts w:cs="Arial"/>
                <w:szCs w:val="24"/>
              </w:rPr>
            </w:pPr>
            <w:r w:rsidRPr="00882976">
              <w:rPr>
                <w:rFonts w:cs="Arial"/>
                <w:szCs w:val="24"/>
              </w:rPr>
              <w:t>Council Tax</w:t>
            </w:r>
          </w:p>
        </w:tc>
        <w:tc>
          <w:tcPr>
            <w:tcW w:w="1284" w:type="dxa"/>
            <w:vAlign w:val="center"/>
          </w:tcPr>
          <w:p w14:paraId="6EB459A1" w14:textId="0496580D" w:rsidR="009F2DD7" w:rsidRPr="00882976" w:rsidRDefault="00FB7167" w:rsidP="00AC67F1">
            <w:pPr>
              <w:pStyle w:val="NoSpacing"/>
              <w:spacing w:line="276" w:lineRule="auto"/>
              <w:jc w:val="right"/>
              <w:rPr>
                <w:rFonts w:cs="Arial"/>
                <w:szCs w:val="24"/>
              </w:rPr>
            </w:pPr>
            <w:r w:rsidRPr="00882976">
              <w:rPr>
                <w:rFonts w:cs="Arial"/>
                <w:szCs w:val="24"/>
              </w:rPr>
              <w:t>430.627</w:t>
            </w:r>
          </w:p>
        </w:tc>
        <w:tc>
          <w:tcPr>
            <w:tcW w:w="1284" w:type="dxa"/>
            <w:vAlign w:val="center"/>
          </w:tcPr>
          <w:p w14:paraId="17DF7159" w14:textId="5BF9E89D" w:rsidR="009F2DD7" w:rsidRPr="00882976" w:rsidRDefault="00FB7167" w:rsidP="00AC67F1">
            <w:pPr>
              <w:pStyle w:val="NoSpacing"/>
              <w:spacing w:line="276" w:lineRule="auto"/>
              <w:jc w:val="right"/>
              <w:rPr>
                <w:rFonts w:cs="Arial"/>
                <w:szCs w:val="24"/>
              </w:rPr>
            </w:pPr>
            <w:r w:rsidRPr="00882976">
              <w:rPr>
                <w:rFonts w:cs="Arial"/>
                <w:szCs w:val="24"/>
              </w:rPr>
              <w:t>452.288</w:t>
            </w:r>
          </w:p>
        </w:tc>
        <w:tc>
          <w:tcPr>
            <w:tcW w:w="1284" w:type="dxa"/>
            <w:vAlign w:val="center"/>
          </w:tcPr>
          <w:p w14:paraId="720C208C" w14:textId="3F8737E9" w:rsidR="009F2DD7" w:rsidRPr="00882976" w:rsidRDefault="00FB7167" w:rsidP="00AC67F1">
            <w:pPr>
              <w:pStyle w:val="NoSpacing"/>
              <w:spacing w:line="276" w:lineRule="auto"/>
              <w:jc w:val="right"/>
              <w:rPr>
                <w:rFonts w:cs="Arial"/>
                <w:szCs w:val="24"/>
              </w:rPr>
            </w:pPr>
            <w:r w:rsidRPr="00882976">
              <w:rPr>
                <w:rFonts w:cs="Arial"/>
                <w:szCs w:val="24"/>
              </w:rPr>
              <w:t>475.036</w:t>
            </w:r>
          </w:p>
        </w:tc>
        <w:tc>
          <w:tcPr>
            <w:tcW w:w="1284" w:type="dxa"/>
            <w:vAlign w:val="center"/>
          </w:tcPr>
          <w:p w14:paraId="5649840F" w14:textId="517EDC66" w:rsidR="009F2DD7" w:rsidRPr="00882976" w:rsidRDefault="00FB7167" w:rsidP="00AC67F1">
            <w:pPr>
              <w:pStyle w:val="NoSpacing"/>
              <w:spacing w:line="276" w:lineRule="auto"/>
              <w:jc w:val="right"/>
              <w:rPr>
                <w:rFonts w:cs="Arial"/>
                <w:szCs w:val="24"/>
              </w:rPr>
            </w:pPr>
            <w:r w:rsidRPr="00882976">
              <w:rPr>
                <w:rFonts w:cs="Arial"/>
                <w:szCs w:val="24"/>
              </w:rPr>
              <w:t>498.932</w:t>
            </w:r>
          </w:p>
        </w:tc>
      </w:tr>
      <w:tr w:rsidR="009F2DD7" w:rsidRPr="00882976" w14:paraId="3907767A" w14:textId="77777777" w:rsidTr="00AC67F1">
        <w:trPr>
          <w:trHeight w:val="552"/>
          <w:jc w:val="center"/>
        </w:trPr>
        <w:tc>
          <w:tcPr>
            <w:tcW w:w="3114" w:type="dxa"/>
            <w:vAlign w:val="center"/>
          </w:tcPr>
          <w:p w14:paraId="2F992001" w14:textId="77777777" w:rsidR="009F2DD7" w:rsidRPr="00882976" w:rsidRDefault="009F2DD7" w:rsidP="00AC67F1">
            <w:pPr>
              <w:pStyle w:val="NoSpacing"/>
              <w:spacing w:line="276" w:lineRule="auto"/>
              <w:rPr>
                <w:rFonts w:cs="Arial"/>
                <w:szCs w:val="24"/>
              </w:rPr>
            </w:pPr>
            <w:r w:rsidRPr="00882976">
              <w:rPr>
                <w:rFonts w:cs="Arial"/>
                <w:szCs w:val="24"/>
              </w:rPr>
              <w:t>New Homes Bonus</w:t>
            </w:r>
          </w:p>
        </w:tc>
        <w:tc>
          <w:tcPr>
            <w:tcW w:w="1284" w:type="dxa"/>
            <w:vAlign w:val="center"/>
          </w:tcPr>
          <w:p w14:paraId="206D94AA" w14:textId="77777777" w:rsidR="009F2DD7" w:rsidRPr="00882976" w:rsidRDefault="009F2DD7" w:rsidP="00AC67F1">
            <w:pPr>
              <w:pStyle w:val="NoSpacing"/>
              <w:spacing w:line="276" w:lineRule="auto"/>
              <w:jc w:val="right"/>
              <w:rPr>
                <w:rFonts w:cs="Arial"/>
                <w:szCs w:val="24"/>
              </w:rPr>
            </w:pPr>
            <w:r w:rsidRPr="00882976">
              <w:rPr>
                <w:rFonts w:cs="Arial"/>
                <w:szCs w:val="24"/>
              </w:rPr>
              <w:t>5.530</w:t>
            </w:r>
          </w:p>
        </w:tc>
        <w:tc>
          <w:tcPr>
            <w:tcW w:w="1284" w:type="dxa"/>
            <w:vAlign w:val="center"/>
          </w:tcPr>
          <w:p w14:paraId="26ED107B" w14:textId="77777777" w:rsidR="009F2DD7" w:rsidRPr="00882976" w:rsidRDefault="009F2DD7" w:rsidP="00AC67F1">
            <w:pPr>
              <w:pStyle w:val="NoSpacing"/>
              <w:spacing w:line="276" w:lineRule="auto"/>
              <w:jc w:val="right"/>
              <w:rPr>
                <w:rFonts w:cs="Arial"/>
                <w:szCs w:val="24"/>
              </w:rPr>
            </w:pPr>
            <w:r w:rsidRPr="00882976">
              <w:rPr>
                <w:rFonts w:cs="Arial"/>
                <w:szCs w:val="24"/>
              </w:rPr>
              <w:t>3.475</w:t>
            </w:r>
          </w:p>
        </w:tc>
        <w:tc>
          <w:tcPr>
            <w:tcW w:w="1284" w:type="dxa"/>
            <w:vAlign w:val="center"/>
          </w:tcPr>
          <w:p w14:paraId="6F9E068A" w14:textId="77777777" w:rsidR="009F2DD7" w:rsidRPr="00882976" w:rsidRDefault="009F2DD7" w:rsidP="00AC67F1">
            <w:pPr>
              <w:pStyle w:val="NoSpacing"/>
              <w:spacing w:line="276" w:lineRule="auto"/>
              <w:jc w:val="right"/>
              <w:rPr>
                <w:rFonts w:cs="Arial"/>
                <w:szCs w:val="24"/>
              </w:rPr>
            </w:pPr>
            <w:r w:rsidRPr="00882976">
              <w:rPr>
                <w:rFonts w:cs="Arial"/>
                <w:szCs w:val="24"/>
              </w:rPr>
              <w:t>3.334</w:t>
            </w:r>
          </w:p>
        </w:tc>
        <w:tc>
          <w:tcPr>
            <w:tcW w:w="1284" w:type="dxa"/>
            <w:vAlign w:val="center"/>
          </w:tcPr>
          <w:p w14:paraId="1C6DBD64" w14:textId="77777777" w:rsidR="009F2DD7" w:rsidRPr="00882976" w:rsidRDefault="009F2DD7" w:rsidP="00AC67F1">
            <w:pPr>
              <w:pStyle w:val="NoSpacing"/>
              <w:spacing w:line="276" w:lineRule="auto"/>
              <w:jc w:val="right"/>
              <w:rPr>
                <w:rFonts w:cs="Arial"/>
                <w:szCs w:val="24"/>
              </w:rPr>
            </w:pPr>
            <w:r w:rsidRPr="00882976">
              <w:rPr>
                <w:rFonts w:cs="Arial"/>
                <w:szCs w:val="24"/>
              </w:rPr>
              <w:t>3.334</w:t>
            </w:r>
          </w:p>
        </w:tc>
      </w:tr>
      <w:tr w:rsidR="009F2DD7" w:rsidRPr="00882976" w14:paraId="681DA1BA" w14:textId="77777777" w:rsidTr="00AC67F1">
        <w:trPr>
          <w:trHeight w:val="552"/>
          <w:jc w:val="center"/>
        </w:trPr>
        <w:tc>
          <w:tcPr>
            <w:tcW w:w="3114" w:type="dxa"/>
            <w:vAlign w:val="center"/>
          </w:tcPr>
          <w:p w14:paraId="6E58F54B" w14:textId="77777777" w:rsidR="009F2DD7" w:rsidRPr="00882976" w:rsidRDefault="009F2DD7" w:rsidP="00AC67F1">
            <w:pPr>
              <w:pStyle w:val="NoSpacing"/>
              <w:spacing w:line="276" w:lineRule="auto"/>
              <w:rPr>
                <w:rFonts w:cs="Arial"/>
                <w:szCs w:val="24"/>
              </w:rPr>
            </w:pPr>
            <w:r w:rsidRPr="00882976">
              <w:rPr>
                <w:rFonts w:cs="Arial"/>
                <w:szCs w:val="24"/>
              </w:rPr>
              <w:t>Better Care Fund</w:t>
            </w:r>
          </w:p>
        </w:tc>
        <w:tc>
          <w:tcPr>
            <w:tcW w:w="1284" w:type="dxa"/>
            <w:vAlign w:val="center"/>
          </w:tcPr>
          <w:p w14:paraId="65C72951" w14:textId="77777777" w:rsidR="009F2DD7" w:rsidRPr="00882976" w:rsidRDefault="009F2DD7" w:rsidP="00AC67F1">
            <w:pPr>
              <w:pStyle w:val="NoSpacing"/>
              <w:spacing w:line="276" w:lineRule="auto"/>
              <w:jc w:val="right"/>
              <w:rPr>
                <w:rFonts w:cs="Arial"/>
                <w:szCs w:val="24"/>
              </w:rPr>
            </w:pPr>
            <w:r w:rsidRPr="00882976">
              <w:rPr>
                <w:rFonts w:cs="Arial"/>
                <w:szCs w:val="24"/>
              </w:rPr>
              <w:t>3.210</w:t>
            </w:r>
          </w:p>
        </w:tc>
        <w:tc>
          <w:tcPr>
            <w:tcW w:w="1284" w:type="dxa"/>
            <w:vAlign w:val="center"/>
          </w:tcPr>
          <w:p w14:paraId="2488F7FF" w14:textId="77777777" w:rsidR="009F2DD7" w:rsidRPr="00882976" w:rsidRDefault="009F2DD7" w:rsidP="00AC67F1">
            <w:pPr>
              <w:pStyle w:val="NoSpacing"/>
              <w:spacing w:line="276" w:lineRule="auto"/>
              <w:jc w:val="right"/>
              <w:rPr>
                <w:rFonts w:cs="Arial"/>
                <w:szCs w:val="24"/>
              </w:rPr>
            </w:pPr>
            <w:r w:rsidRPr="00882976">
              <w:rPr>
                <w:rFonts w:cs="Arial"/>
                <w:szCs w:val="24"/>
              </w:rPr>
              <w:t>22.656</w:t>
            </w:r>
          </w:p>
        </w:tc>
        <w:tc>
          <w:tcPr>
            <w:tcW w:w="1284" w:type="dxa"/>
            <w:vAlign w:val="center"/>
          </w:tcPr>
          <w:p w14:paraId="359EB6DF" w14:textId="77777777" w:rsidR="009F2DD7" w:rsidRPr="00882976" w:rsidRDefault="009F2DD7" w:rsidP="00AC67F1">
            <w:pPr>
              <w:pStyle w:val="NoSpacing"/>
              <w:spacing w:line="276" w:lineRule="auto"/>
              <w:jc w:val="right"/>
              <w:rPr>
                <w:rFonts w:cs="Arial"/>
                <w:szCs w:val="24"/>
              </w:rPr>
            </w:pPr>
            <w:r w:rsidRPr="00882976">
              <w:rPr>
                <w:rFonts w:cs="Arial"/>
                <w:szCs w:val="24"/>
              </w:rPr>
              <w:t>40.014</w:t>
            </w:r>
          </w:p>
        </w:tc>
        <w:tc>
          <w:tcPr>
            <w:tcW w:w="1284" w:type="dxa"/>
            <w:vAlign w:val="center"/>
          </w:tcPr>
          <w:p w14:paraId="24DA5C8F" w14:textId="77777777" w:rsidR="009F2DD7" w:rsidRPr="00882976" w:rsidRDefault="009F2DD7" w:rsidP="00AC67F1">
            <w:pPr>
              <w:pStyle w:val="NoSpacing"/>
              <w:spacing w:line="276" w:lineRule="auto"/>
              <w:jc w:val="right"/>
              <w:rPr>
                <w:rFonts w:cs="Arial"/>
                <w:szCs w:val="24"/>
              </w:rPr>
            </w:pPr>
            <w:r w:rsidRPr="00882976">
              <w:rPr>
                <w:rFonts w:cs="Arial"/>
                <w:szCs w:val="24"/>
              </w:rPr>
              <w:t>40.014</w:t>
            </w:r>
          </w:p>
        </w:tc>
      </w:tr>
      <w:tr w:rsidR="009F2DD7" w:rsidRPr="00882976" w14:paraId="7A36D1BF" w14:textId="77777777" w:rsidTr="00AC67F1">
        <w:trPr>
          <w:trHeight w:val="552"/>
          <w:jc w:val="center"/>
        </w:trPr>
        <w:tc>
          <w:tcPr>
            <w:tcW w:w="3114" w:type="dxa"/>
            <w:vAlign w:val="center"/>
          </w:tcPr>
          <w:p w14:paraId="53D25D39" w14:textId="77777777" w:rsidR="009F2DD7" w:rsidRPr="00882976" w:rsidRDefault="009F2DD7" w:rsidP="00AC67F1">
            <w:pPr>
              <w:pStyle w:val="NoSpacing"/>
              <w:spacing w:line="276" w:lineRule="auto"/>
              <w:rPr>
                <w:rFonts w:cs="Arial"/>
                <w:szCs w:val="24"/>
              </w:rPr>
            </w:pPr>
            <w:r w:rsidRPr="00882976">
              <w:rPr>
                <w:rFonts w:cs="Arial"/>
                <w:szCs w:val="24"/>
              </w:rPr>
              <w:t>Transitional Grant</w:t>
            </w:r>
          </w:p>
        </w:tc>
        <w:tc>
          <w:tcPr>
            <w:tcW w:w="1284" w:type="dxa"/>
            <w:vAlign w:val="center"/>
          </w:tcPr>
          <w:p w14:paraId="484F28D3" w14:textId="77777777" w:rsidR="009F2DD7" w:rsidRPr="00882976" w:rsidRDefault="009F2DD7" w:rsidP="00AC67F1">
            <w:pPr>
              <w:pStyle w:val="NoSpacing"/>
              <w:spacing w:line="276" w:lineRule="auto"/>
              <w:jc w:val="right"/>
              <w:rPr>
                <w:rFonts w:cs="Arial"/>
                <w:szCs w:val="24"/>
              </w:rPr>
            </w:pPr>
            <w:r w:rsidRPr="00882976">
              <w:rPr>
                <w:rFonts w:cs="Arial"/>
                <w:szCs w:val="24"/>
              </w:rPr>
              <w:t>1.154</w:t>
            </w:r>
          </w:p>
        </w:tc>
        <w:tc>
          <w:tcPr>
            <w:tcW w:w="1284" w:type="dxa"/>
            <w:vAlign w:val="center"/>
          </w:tcPr>
          <w:p w14:paraId="1FDE0DAE" w14:textId="2D944E2C" w:rsidR="009F2DD7" w:rsidRPr="00882976" w:rsidRDefault="004C00D2" w:rsidP="00AC67F1">
            <w:pPr>
              <w:pStyle w:val="NoSpacing"/>
              <w:spacing w:line="276" w:lineRule="auto"/>
              <w:jc w:val="right"/>
              <w:rPr>
                <w:rFonts w:cs="Arial"/>
                <w:szCs w:val="24"/>
              </w:rPr>
            </w:pPr>
            <w:r w:rsidRPr="00882976">
              <w:rPr>
                <w:rFonts w:cs="Arial"/>
                <w:szCs w:val="24"/>
              </w:rPr>
              <w:t>0.000</w:t>
            </w:r>
          </w:p>
        </w:tc>
        <w:tc>
          <w:tcPr>
            <w:tcW w:w="1284" w:type="dxa"/>
            <w:vAlign w:val="center"/>
          </w:tcPr>
          <w:p w14:paraId="24BF9CB0" w14:textId="2D87B491" w:rsidR="009F2DD7" w:rsidRPr="00882976" w:rsidRDefault="004C00D2" w:rsidP="00AC67F1">
            <w:pPr>
              <w:pStyle w:val="NoSpacing"/>
              <w:spacing w:line="276" w:lineRule="auto"/>
              <w:jc w:val="right"/>
              <w:rPr>
                <w:rFonts w:cs="Arial"/>
                <w:szCs w:val="24"/>
              </w:rPr>
            </w:pPr>
            <w:r w:rsidRPr="00882976">
              <w:rPr>
                <w:rFonts w:cs="Arial"/>
                <w:szCs w:val="24"/>
              </w:rPr>
              <w:t>0.000</w:t>
            </w:r>
          </w:p>
        </w:tc>
        <w:tc>
          <w:tcPr>
            <w:tcW w:w="1284" w:type="dxa"/>
            <w:vAlign w:val="center"/>
          </w:tcPr>
          <w:p w14:paraId="65EAC28F" w14:textId="4A26FC90" w:rsidR="009F2DD7" w:rsidRPr="00882976" w:rsidRDefault="004C00D2" w:rsidP="00AC67F1">
            <w:pPr>
              <w:pStyle w:val="NoSpacing"/>
              <w:spacing w:line="276" w:lineRule="auto"/>
              <w:jc w:val="right"/>
              <w:rPr>
                <w:rFonts w:cs="Arial"/>
                <w:szCs w:val="24"/>
              </w:rPr>
            </w:pPr>
            <w:r w:rsidRPr="00882976">
              <w:rPr>
                <w:rFonts w:cs="Arial"/>
                <w:szCs w:val="24"/>
              </w:rPr>
              <w:t>0.000</w:t>
            </w:r>
          </w:p>
        </w:tc>
      </w:tr>
      <w:tr w:rsidR="009F2DD7" w:rsidRPr="00882976" w14:paraId="2FA1945B" w14:textId="77777777" w:rsidTr="00AC67F1">
        <w:trPr>
          <w:trHeight w:val="552"/>
          <w:jc w:val="center"/>
        </w:trPr>
        <w:tc>
          <w:tcPr>
            <w:tcW w:w="3114" w:type="dxa"/>
            <w:vAlign w:val="center"/>
          </w:tcPr>
          <w:p w14:paraId="24197883" w14:textId="77777777" w:rsidR="009F2DD7" w:rsidRPr="00882976" w:rsidRDefault="009F2DD7" w:rsidP="00AC67F1">
            <w:pPr>
              <w:pStyle w:val="NoSpacing"/>
              <w:spacing w:line="276" w:lineRule="auto"/>
              <w:rPr>
                <w:rFonts w:cs="Arial"/>
                <w:szCs w:val="24"/>
              </w:rPr>
            </w:pPr>
            <w:r w:rsidRPr="00882976">
              <w:rPr>
                <w:rFonts w:cs="Arial"/>
                <w:szCs w:val="24"/>
              </w:rPr>
              <w:t>Capital receipts</w:t>
            </w:r>
          </w:p>
        </w:tc>
        <w:tc>
          <w:tcPr>
            <w:tcW w:w="1284" w:type="dxa"/>
            <w:vAlign w:val="center"/>
          </w:tcPr>
          <w:p w14:paraId="0030F144" w14:textId="77777777" w:rsidR="009F2DD7" w:rsidRPr="00882976" w:rsidRDefault="009F2DD7" w:rsidP="00AC67F1">
            <w:pPr>
              <w:pStyle w:val="NoSpacing"/>
              <w:spacing w:line="276" w:lineRule="auto"/>
              <w:jc w:val="right"/>
              <w:rPr>
                <w:rFonts w:cs="Arial"/>
                <w:szCs w:val="24"/>
              </w:rPr>
            </w:pPr>
            <w:r w:rsidRPr="00882976">
              <w:rPr>
                <w:rFonts w:cs="Arial"/>
                <w:szCs w:val="24"/>
              </w:rPr>
              <w:t>12.500</w:t>
            </w:r>
          </w:p>
        </w:tc>
        <w:tc>
          <w:tcPr>
            <w:tcW w:w="1284" w:type="dxa"/>
            <w:vAlign w:val="center"/>
          </w:tcPr>
          <w:p w14:paraId="70A46F9A" w14:textId="77777777" w:rsidR="009F2DD7" w:rsidRPr="00882976" w:rsidRDefault="009F2DD7" w:rsidP="00AC67F1">
            <w:pPr>
              <w:pStyle w:val="NoSpacing"/>
              <w:spacing w:line="276" w:lineRule="auto"/>
              <w:jc w:val="right"/>
              <w:rPr>
                <w:rFonts w:cs="Arial"/>
                <w:szCs w:val="24"/>
              </w:rPr>
            </w:pPr>
            <w:r w:rsidRPr="00882976">
              <w:rPr>
                <w:rFonts w:cs="Arial"/>
                <w:szCs w:val="24"/>
              </w:rPr>
              <w:t>5.000</w:t>
            </w:r>
          </w:p>
        </w:tc>
        <w:tc>
          <w:tcPr>
            <w:tcW w:w="1284" w:type="dxa"/>
            <w:vAlign w:val="center"/>
          </w:tcPr>
          <w:p w14:paraId="6F5A6619" w14:textId="77777777" w:rsidR="009F2DD7" w:rsidRPr="00882976" w:rsidRDefault="009F2DD7" w:rsidP="00AC67F1">
            <w:pPr>
              <w:pStyle w:val="NoSpacing"/>
              <w:spacing w:line="276" w:lineRule="auto"/>
              <w:jc w:val="right"/>
              <w:rPr>
                <w:rFonts w:cs="Arial"/>
                <w:szCs w:val="24"/>
              </w:rPr>
            </w:pPr>
            <w:r w:rsidRPr="00882976">
              <w:rPr>
                <w:rFonts w:cs="Arial"/>
                <w:szCs w:val="24"/>
              </w:rPr>
              <w:t>0.000</w:t>
            </w:r>
          </w:p>
        </w:tc>
        <w:tc>
          <w:tcPr>
            <w:tcW w:w="1284" w:type="dxa"/>
            <w:vAlign w:val="center"/>
          </w:tcPr>
          <w:p w14:paraId="7A0BBEBF" w14:textId="77777777" w:rsidR="009F2DD7" w:rsidRPr="00882976" w:rsidRDefault="009F2DD7" w:rsidP="00AC67F1">
            <w:pPr>
              <w:pStyle w:val="NoSpacing"/>
              <w:spacing w:line="276" w:lineRule="auto"/>
              <w:jc w:val="right"/>
              <w:rPr>
                <w:rFonts w:cs="Arial"/>
                <w:szCs w:val="24"/>
              </w:rPr>
            </w:pPr>
            <w:r w:rsidRPr="00882976">
              <w:rPr>
                <w:rFonts w:cs="Arial"/>
                <w:szCs w:val="24"/>
              </w:rPr>
              <w:t>0.000</w:t>
            </w:r>
          </w:p>
        </w:tc>
      </w:tr>
      <w:tr w:rsidR="009F2DD7" w:rsidRPr="00882976" w14:paraId="26A1ED44" w14:textId="77777777" w:rsidTr="00AC67F1">
        <w:trPr>
          <w:trHeight w:val="552"/>
          <w:jc w:val="center"/>
        </w:trPr>
        <w:tc>
          <w:tcPr>
            <w:tcW w:w="3114" w:type="dxa"/>
            <w:vAlign w:val="center"/>
          </w:tcPr>
          <w:p w14:paraId="64C54158" w14:textId="77777777" w:rsidR="009F2DD7" w:rsidRPr="00882976" w:rsidRDefault="009F2DD7" w:rsidP="00AC67F1">
            <w:pPr>
              <w:pStyle w:val="NoSpacing"/>
              <w:spacing w:line="276" w:lineRule="auto"/>
              <w:jc w:val="both"/>
              <w:rPr>
                <w:rFonts w:cs="Arial"/>
                <w:b/>
                <w:szCs w:val="24"/>
              </w:rPr>
            </w:pPr>
            <w:r w:rsidRPr="00882976">
              <w:rPr>
                <w:rFonts w:cs="Arial"/>
                <w:b/>
                <w:szCs w:val="24"/>
              </w:rPr>
              <w:t>Total</w:t>
            </w:r>
          </w:p>
        </w:tc>
        <w:tc>
          <w:tcPr>
            <w:tcW w:w="1284" w:type="dxa"/>
            <w:vAlign w:val="center"/>
          </w:tcPr>
          <w:p w14:paraId="7E68C872" w14:textId="6A0A1DE8" w:rsidR="009F2DD7" w:rsidRPr="00882976" w:rsidRDefault="00FB7167" w:rsidP="00AC67F1">
            <w:pPr>
              <w:spacing w:line="276" w:lineRule="auto"/>
              <w:jc w:val="right"/>
              <w:rPr>
                <w:rFonts w:cs="Arial"/>
                <w:b/>
                <w:lang w:eastAsia="en-GB"/>
              </w:rPr>
            </w:pPr>
            <w:r w:rsidRPr="00882976">
              <w:rPr>
                <w:rFonts w:cs="Arial"/>
                <w:b/>
                <w:lang w:eastAsia="en-GB"/>
              </w:rPr>
              <w:t>715.390</w:t>
            </w:r>
          </w:p>
        </w:tc>
        <w:tc>
          <w:tcPr>
            <w:tcW w:w="1284" w:type="dxa"/>
            <w:vAlign w:val="center"/>
          </w:tcPr>
          <w:p w14:paraId="14DECACF" w14:textId="6A31362A" w:rsidR="009F2DD7" w:rsidRPr="00882976" w:rsidRDefault="00FB7167" w:rsidP="00AC67F1">
            <w:pPr>
              <w:spacing w:line="276" w:lineRule="auto"/>
              <w:jc w:val="right"/>
              <w:rPr>
                <w:rFonts w:cs="Arial"/>
                <w:b/>
                <w:lang w:eastAsia="en-GB"/>
              </w:rPr>
            </w:pPr>
            <w:r w:rsidRPr="00882976">
              <w:rPr>
                <w:rFonts w:cs="Arial"/>
                <w:b/>
                <w:lang w:eastAsia="en-GB"/>
              </w:rPr>
              <w:t>726.539</w:t>
            </w:r>
          </w:p>
        </w:tc>
        <w:tc>
          <w:tcPr>
            <w:tcW w:w="1284" w:type="dxa"/>
            <w:vAlign w:val="center"/>
          </w:tcPr>
          <w:p w14:paraId="42171162" w14:textId="493DB9A8" w:rsidR="009F2DD7" w:rsidRPr="00882976" w:rsidRDefault="00FB7167" w:rsidP="00AC67F1">
            <w:pPr>
              <w:spacing w:line="276" w:lineRule="auto"/>
              <w:jc w:val="right"/>
              <w:rPr>
                <w:rFonts w:cs="Arial"/>
                <w:b/>
                <w:lang w:eastAsia="en-GB"/>
              </w:rPr>
            </w:pPr>
            <w:r w:rsidRPr="00882976">
              <w:rPr>
                <w:rFonts w:cs="Arial"/>
                <w:b/>
                <w:lang w:eastAsia="en-GB"/>
              </w:rPr>
              <w:t>743.316</w:t>
            </w:r>
          </w:p>
        </w:tc>
        <w:tc>
          <w:tcPr>
            <w:tcW w:w="1284" w:type="dxa"/>
            <w:vAlign w:val="center"/>
          </w:tcPr>
          <w:p w14:paraId="0A02C08F" w14:textId="388B9910" w:rsidR="009F2DD7" w:rsidRPr="00882976" w:rsidRDefault="00FB7167" w:rsidP="00AC67F1">
            <w:pPr>
              <w:spacing w:line="276" w:lineRule="auto"/>
              <w:jc w:val="right"/>
              <w:rPr>
                <w:rFonts w:cs="Arial"/>
                <w:b/>
                <w:lang w:eastAsia="en-GB"/>
              </w:rPr>
            </w:pPr>
            <w:r w:rsidRPr="00882976">
              <w:rPr>
                <w:rFonts w:cs="Arial"/>
                <w:b/>
                <w:lang w:eastAsia="en-GB"/>
              </w:rPr>
              <w:t>766.463</w:t>
            </w:r>
          </w:p>
        </w:tc>
      </w:tr>
    </w:tbl>
    <w:p w14:paraId="6BCE331F" w14:textId="77777777" w:rsidR="00FB7167" w:rsidRDefault="00FB7167" w:rsidP="007F6B26">
      <w:pPr>
        <w:rPr>
          <w:rFonts w:cs="Arial"/>
        </w:rPr>
      </w:pPr>
    </w:p>
    <w:p w14:paraId="09D27DF3" w14:textId="74EEC99E" w:rsidR="0047237E" w:rsidRDefault="00FB7167" w:rsidP="0047237E">
      <w:pPr>
        <w:spacing w:after="0"/>
        <w:rPr>
          <w:rFonts w:cs="Arial"/>
        </w:rPr>
      </w:pPr>
      <w:r w:rsidRPr="00882976">
        <w:rPr>
          <w:rFonts w:cs="Arial"/>
        </w:rPr>
        <w:t>The figures above</w:t>
      </w:r>
      <w:r w:rsidR="009F2DD7" w:rsidRPr="00882976">
        <w:rPr>
          <w:rFonts w:cs="Arial"/>
        </w:rPr>
        <w:t xml:space="preserve"> were based on a number of assumptions which have </w:t>
      </w:r>
      <w:r w:rsidR="004C3633">
        <w:rPr>
          <w:rFonts w:cs="Arial"/>
        </w:rPr>
        <w:t xml:space="preserve">been </w:t>
      </w:r>
      <w:r w:rsidR="009F2DD7" w:rsidRPr="00882976">
        <w:rPr>
          <w:rFonts w:cs="Arial"/>
        </w:rPr>
        <w:t>rev</w:t>
      </w:r>
      <w:r w:rsidRPr="00882976">
        <w:rPr>
          <w:rFonts w:cs="Arial"/>
        </w:rPr>
        <w:t>isited as part of this report</w:t>
      </w:r>
      <w:r w:rsidR="00C557EF">
        <w:rPr>
          <w:rFonts w:cs="Arial"/>
        </w:rPr>
        <w:t>. This report has been updated to include information from the Provisional Finance Settlement announced in December 2016</w:t>
      </w:r>
      <w:r w:rsidRPr="00882976">
        <w:rPr>
          <w:rFonts w:cs="Arial"/>
        </w:rPr>
        <w:t>. It is important to note that Cou</w:t>
      </w:r>
      <w:r w:rsidR="000B4488">
        <w:rPr>
          <w:rFonts w:cs="Arial"/>
        </w:rPr>
        <w:t>ncil Tax had</w:t>
      </w:r>
      <w:r w:rsidR="0018627E">
        <w:rPr>
          <w:rFonts w:cs="Arial"/>
        </w:rPr>
        <w:t xml:space="preserve"> been increased by 3</w:t>
      </w:r>
      <w:r w:rsidRPr="00882976">
        <w:rPr>
          <w:rFonts w:cs="Arial"/>
        </w:rPr>
        <w:t>.99%, however this w</w:t>
      </w:r>
      <w:r w:rsidR="000B4488">
        <w:rPr>
          <w:rFonts w:cs="Arial"/>
        </w:rPr>
        <w:t>ould have</w:t>
      </w:r>
      <w:r w:rsidRPr="00882976">
        <w:rPr>
          <w:rFonts w:cs="Arial"/>
        </w:rPr>
        <w:t xml:space="preserve"> be</w:t>
      </w:r>
      <w:r w:rsidR="000B4488">
        <w:rPr>
          <w:rFonts w:cs="Arial"/>
        </w:rPr>
        <w:t>en</w:t>
      </w:r>
      <w:r w:rsidRPr="00882976">
        <w:rPr>
          <w:rFonts w:cs="Arial"/>
        </w:rPr>
        <w:t xml:space="preserve"> a Full Council de</w:t>
      </w:r>
      <w:r w:rsidR="00B1681E">
        <w:rPr>
          <w:rFonts w:cs="Arial"/>
        </w:rPr>
        <w:t>cision when setting the budget for each financial year.</w:t>
      </w:r>
    </w:p>
    <w:p w14:paraId="321F736D" w14:textId="77777777" w:rsidR="0047237E" w:rsidRDefault="0047237E" w:rsidP="0047237E">
      <w:pPr>
        <w:spacing w:after="0"/>
        <w:rPr>
          <w:rFonts w:cs="Arial"/>
        </w:rPr>
      </w:pPr>
    </w:p>
    <w:p w14:paraId="4C08D752" w14:textId="77777777" w:rsidR="001A059C" w:rsidRDefault="001A059C" w:rsidP="0047237E">
      <w:pPr>
        <w:spacing w:after="0"/>
        <w:rPr>
          <w:rFonts w:cs="Arial"/>
        </w:rPr>
      </w:pPr>
    </w:p>
    <w:p w14:paraId="0A393FE8" w14:textId="77777777" w:rsidR="001A059C" w:rsidRDefault="001A059C" w:rsidP="0047237E">
      <w:pPr>
        <w:spacing w:after="0"/>
        <w:rPr>
          <w:rFonts w:cs="Arial"/>
        </w:rPr>
      </w:pPr>
    </w:p>
    <w:p w14:paraId="515555F6" w14:textId="77777777" w:rsidR="001A059C" w:rsidRDefault="001A059C" w:rsidP="0047237E">
      <w:pPr>
        <w:spacing w:after="0"/>
        <w:rPr>
          <w:rFonts w:cs="Arial"/>
        </w:rPr>
      </w:pPr>
    </w:p>
    <w:p w14:paraId="51CF9E6D" w14:textId="77777777" w:rsidR="001A059C" w:rsidRDefault="001A059C" w:rsidP="0047237E">
      <w:pPr>
        <w:spacing w:after="0"/>
        <w:rPr>
          <w:rFonts w:cs="Arial"/>
        </w:rPr>
      </w:pPr>
    </w:p>
    <w:p w14:paraId="24FD9032" w14:textId="77777777" w:rsidR="001A059C" w:rsidRDefault="001A059C" w:rsidP="0047237E">
      <w:pPr>
        <w:spacing w:after="0"/>
        <w:rPr>
          <w:rFonts w:cs="Arial"/>
        </w:rPr>
      </w:pPr>
    </w:p>
    <w:p w14:paraId="2E91846A" w14:textId="77777777" w:rsidR="001A059C" w:rsidRDefault="001A059C" w:rsidP="0047237E">
      <w:pPr>
        <w:spacing w:after="0"/>
        <w:rPr>
          <w:rFonts w:cs="Arial"/>
        </w:rPr>
      </w:pPr>
    </w:p>
    <w:p w14:paraId="1F919D78" w14:textId="77777777" w:rsidR="001A059C" w:rsidRDefault="001A059C" w:rsidP="0047237E">
      <w:pPr>
        <w:spacing w:after="0"/>
        <w:rPr>
          <w:rFonts w:cs="Arial"/>
        </w:rPr>
      </w:pPr>
    </w:p>
    <w:p w14:paraId="3052B898" w14:textId="77777777" w:rsidR="001A059C" w:rsidRDefault="001A059C" w:rsidP="0047237E">
      <w:pPr>
        <w:spacing w:after="0"/>
        <w:rPr>
          <w:rFonts w:cs="Arial"/>
        </w:rPr>
      </w:pPr>
    </w:p>
    <w:p w14:paraId="70807B4E" w14:textId="77777777" w:rsidR="001A059C" w:rsidRDefault="001A059C" w:rsidP="0047237E">
      <w:pPr>
        <w:spacing w:after="0"/>
        <w:rPr>
          <w:rFonts w:cs="Arial"/>
        </w:rPr>
      </w:pPr>
    </w:p>
    <w:p w14:paraId="0C07423F" w14:textId="77777777" w:rsidR="001A059C" w:rsidRDefault="001A059C" w:rsidP="0047237E">
      <w:pPr>
        <w:spacing w:after="0"/>
        <w:rPr>
          <w:rFonts w:cs="Arial"/>
        </w:rPr>
      </w:pPr>
    </w:p>
    <w:p w14:paraId="0D851560" w14:textId="77777777" w:rsidR="001A059C" w:rsidRDefault="001A059C" w:rsidP="0047237E">
      <w:pPr>
        <w:spacing w:after="0"/>
        <w:rPr>
          <w:rFonts w:cs="Arial"/>
        </w:rPr>
      </w:pPr>
    </w:p>
    <w:p w14:paraId="4591B6FA" w14:textId="77777777" w:rsidR="001A059C" w:rsidRDefault="001A059C" w:rsidP="0047237E">
      <w:pPr>
        <w:spacing w:after="0"/>
        <w:rPr>
          <w:rFonts w:cs="Arial"/>
        </w:rPr>
      </w:pPr>
    </w:p>
    <w:p w14:paraId="02256A05" w14:textId="77777777" w:rsidR="001A059C" w:rsidRDefault="001A059C" w:rsidP="0047237E">
      <w:pPr>
        <w:spacing w:after="0"/>
        <w:rPr>
          <w:rFonts w:cs="Arial"/>
        </w:rPr>
      </w:pPr>
    </w:p>
    <w:p w14:paraId="7060E315" w14:textId="77777777" w:rsidR="001A059C" w:rsidRDefault="001A059C" w:rsidP="0047237E">
      <w:pPr>
        <w:spacing w:after="0"/>
        <w:rPr>
          <w:rFonts w:cs="Arial"/>
        </w:rPr>
      </w:pPr>
    </w:p>
    <w:p w14:paraId="3FE02064" w14:textId="77777777" w:rsidR="007D06DE" w:rsidRDefault="007D06DE" w:rsidP="0047237E">
      <w:pPr>
        <w:spacing w:after="0"/>
        <w:rPr>
          <w:rFonts w:cs="Arial"/>
        </w:rPr>
      </w:pPr>
    </w:p>
    <w:p w14:paraId="144783F5" w14:textId="77777777" w:rsidR="007D06DE" w:rsidRDefault="007D06DE" w:rsidP="0047237E">
      <w:pPr>
        <w:spacing w:after="0"/>
        <w:rPr>
          <w:rFonts w:cs="Arial"/>
        </w:rPr>
      </w:pPr>
    </w:p>
    <w:p w14:paraId="742C1754" w14:textId="77777777" w:rsidR="001A059C" w:rsidRDefault="001A059C" w:rsidP="0047237E">
      <w:pPr>
        <w:spacing w:after="0"/>
        <w:rPr>
          <w:rFonts w:cs="Arial"/>
        </w:rPr>
      </w:pPr>
    </w:p>
    <w:p w14:paraId="7B9BDEE8" w14:textId="47090EF4" w:rsidR="0047237E" w:rsidRDefault="0047237E" w:rsidP="0047237E">
      <w:pPr>
        <w:spacing w:after="0"/>
        <w:rPr>
          <w:rFonts w:cs="Arial"/>
        </w:rPr>
      </w:pPr>
      <w:r>
        <w:rPr>
          <w:rFonts w:cs="Arial"/>
        </w:rPr>
        <w:t>The revised resources position incorporating the details set out below is as follows:</w:t>
      </w:r>
    </w:p>
    <w:p w14:paraId="536BD924" w14:textId="77777777" w:rsidR="0047237E" w:rsidRDefault="0047237E" w:rsidP="0047237E">
      <w:pPr>
        <w:spacing w:after="0"/>
        <w:rPr>
          <w:rFonts w:cs="Arial"/>
        </w:rPr>
      </w:pP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47237E" w:rsidRPr="00882976" w14:paraId="0F7D0C4D" w14:textId="77777777" w:rsidTr="0047237E">
        <w:trPr>
          <w:trHeight w:val="593"/>
          <w:jc w:val="center"/>
        </w:trPr>
        <w:tc>
          <w:tcPr>
            <w:tcW w:w="3114" w:type="dxa"/>
            <w:shd w:val="clear" w:color="auto" w:fill="BFBFBF" w:themeFill="background1" w:themeFillShade="BF"/>
            <w:vAlign w:val="center"/>
          </w:tcPr>
          <w:p w14:paraId="077477B6" w14:textId="77777777" w:rsidR="0047237E" w:rsidRPr="00882976" w:rsidRDefault="0047237E" w:rsidP="0047237E">
            <w:pPr>
              <w:pStyle w:val="NoSpacing"/>
              <w:jc w:val="both"/>
              <w:rPr>
                <w:rFonts w:cs="Arial"/>
                <w:szCs w:val="24"/>
              </w:rPr>
            </w:pPr>
          </w:p>
        </w:tc>
        <w:tc>
          <w:tcPr>
            <w:tcW w:w="1284" w:type="dxa"/>
            <w:shd w:val="clear" w:color="auto" w:fill="BFBFBF" w:themeFill="background1" w:themeFillShade="BF"/>
            <w:vAlign w:val="center"/>
          </w:tcPr>
          <w:p w14:paraId="1A213F9C" w14:textId="77777777" w:rsidR="0047237E" w:rsidRPr="00882976" w:rsidRDefault="0047237E" w:rsidP="0047237E">
            <w:pPr>
              <w:pStyle w:val="NoSpacing"/>
              <w:jc w:val="center"/>
              <w:rPr>
                <w:rFonts w:cs="Arial"/>
                <w:b/>
                <w:szCs w:val="24"/>
              </w:rPr>
            </w:pPr>
            <w:r w:rsidRPr="00882976">
              <w:rPr>
                <w:rFonts w:cs="Arial"/>
                <w:b/>
                <w:szCs w:val="24"/>
              </w:rPr>
              <w:t>2017/18</w:t>
            </w:r>
          </w:p>
          <w:p w14:paraId="089209E2" w14:textId="77777777" w:rsidR="0047237E" w:rsidRPr="00882976" w:rsidRDefault="0047237E" w:rsidP="0047237E">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6591DE25" w14:textId="77777777" w:rsidR="0047237E" w:rsidRPr="00882976" w:rsidRDefault="0047237E" w:rsidP="0047237E">
            <w:pPr>
              <w:pStyle w:val="NoSpacing"/>
              <w:jc w:val="center"/>
              <w:rPr>
                <w:rFonts w:cs="Arial"/>
                <w:b/>
                <w:szCs w:val="24"/>
              </w:rPr>
            </w:pPr>
            <w:r w:rsidRPr="00882976">
              <w:rPr>
                <w:rFonts w:cs="Arial"/>
                <w:b/>
                <w:szCs w:val="24"/>
              </w:rPr>
              <w:t>2018/19</w:t>
            </w:r>
          </w:p>
          <w:p w14:paraId="28041061" w14:textId="77777777" w:rsidR="0047237E" w:rsidRPr="00882976" w:rsidRDefault="0047237E" w:rsidP="0047237E">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3EF51209" w14:textId="77777777" w:rsidR="0047237E" w:rsidRPr="00882976" w:rsidRDefault="0047237E" w:rsidP="0047237E">
            <w:pPr>
              <w:pStyle w:val="NoSpacing"/>
              <w:jc w:val="center"/>
              <w:rPr>
                <w:rFonts w:cs="Arial"/>
                <w:b/>
                <w:szCs w:val="24"/>
              </w:rPr>
            </w:pPr>
            <w:r w:rsidRPr="00882976">
              <w:rPr>
                <w:rFonts w:cs="Arial"/>
                <w:b/>
                <w:szCs w:val="24"/>
              </w:rPr>
              <w:t>2019/20</w:t>
            </w:r>
          </w:p>
          <w:p w14:paraId="5AC1B0F8" w14:textId="77777777" w:rsidR="0047237E" w:rsidRPr="00882976" w:rsidRDefault="0047237E" w:rsidP="0047237E">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53AF01CB" w14:textId="77777777" w:rsidR="0047237E" w:rsidRPr="00882976" w:rsidRDefault="0047237E" w:rsidP="0047237E">
            <w:pPr>
              <w:pStyle w:val="NoSpacing"/>
              <w:jc w:val="center"/>
              <w:rPr>
                <w:rFonts w:cs="Arial"/>
                <w:b/>
                <w:szCs w:val="24"/>
              </w:rPr>
            </w:pPr>
            <w:r w:rsidRPr="00882976">
              <w:rPr>
                <w:rFonts w:cs="Arial"/>
                <w:b/>
                <w:szCs w:val="24"/>
              </w:rPr>
              <w:t>2020/21</w:t>
            </w:r>
          </w:p>
          <w:p w14:paraId="7BE4B191" w14:textId="77777777" w:rsidR="0047237E" w:rsidRPr="00882976" w:rsidRDefault="0047237E" w:rsidP="0047237E">
            <w:pPr>
              <w:pStyle w:val="NoSpacing"/>
              <w:jc w:val="center"/>
              <w:rPr>
                <w:rFonts w:cs="Arial"/>
                <w:b/>
                <w:szCs w:val="24"/>
              </w:rPr>
            </w:pPr>
            <w:r w:rsidRPr="00882976">
              <w:rPr>
                <w:rFonts w:cs="Arial"/>
                <w:b/>
                <w:szCs w:val="24"/>
              </w:rPr>
              <w:t>£m</w:t>
            </w:r>
          </w:p>
        </w:tc>
      </w:tr>
      <w:tr w:rsidR="0047237E" w:rsidRPr="00882976" w14:paraId="0632B5E9" w14:textId="77777777" w:rsidTr="0047237E">
        <w:trPr>
          <w:trHeight w:val="552"/>
          <w:jc w:val="center"/>
        </w:trPr>
        <w:tc>
          <w:tcPr>
            <w:tcW w:w="3114" w:type="dxa"/>
            <w:vAlign w:val="center"/>
          </w:tcPr>
          <w:p w14:paraId="4B4DACEE" w14:textId="77777777" w:rsidR="0047237E" w:rsidRPr="00882976" w:rsidRDefault="0047237E" w:rsidP="0047237E">
            <w:pPr>
              <w:pStyle w:val="NoSpacing"/>
              <w:spacing w:line="276" w:lineRule="auto"/>
              <w:rPr>
                <w:rFonts w:cs="Arial"/>
                <w:szCs w:val="24"/>
              </w:rPr>
            </w:pPr>
            <w:r w:rsidRPr="00882976">
              <w:rPr>
                <w:rFonts w:cs="Arial"/>
                <w:szCs w:val="24"/>
              </w:rPr>
              <w:t>Revenue Support Grant</w:t>
            </w:r>
          </w:p>
        </w:tc>
        <w:tc>
          <w:tcPr>
            <w:tcW w:w="1284" w:type="dxa"/>
            <w:vAlign w:val="center"/>
          </w:tcPr>
          <w:p w14:paraId="7DF000D2" w14:textId="77777777" w:rsidR="0047237E" w:rsidRPr="00882976" w:rsidRDefault="0047237E" w:rsidP="0047237E">
            <w:pPr>
              <w:pStyle w:val="NoSpacing"/>
              <w:spacing w:line="276" w:lineRule="auto"/>
              <w:jc w:val="right"/>
              <w:rPr>
                <w:rFonts w:cs="Arial"/>
                <w:szCs w:val="24"/>
              </w:rPr>
            </w:pPr>
            <w:r w:rsidRPr="00882976">
              <w:rPr>
                <w:rFonts w:cs="Arial"/>
                <w:szCs w:val="24"/>
              </w:rPr>
              <w:t>81.508</w:t>
            </w:r>
          </w:p>
        </w:tc>
        <w:tc>
          <w:tcPr>
            <w:tcW w:w="1284" w:type="dxa"/>
            <w:vAlign w:val="center"/>
          </w:tcPr>
          <w:p w14:paraId="7B5C7ABC" w14:textId="77777777" w:rsidR="0047237E" w:rsidRPr="00882976" w:rsidRDefault="0047237E" w:rsidP="0047237E">
            <w:pPr>
              <w:pStyle w:val="NoSpacing"/>
              <w:spacing w:line="276" w:lineRule="auto"/>
              <w:jc w:val="right"/>
              <w:rPr>
                <w:rFonts w:cs="Arial"/>
                <w:szCs w:val="24"/>
              </w:rPr>
            </w:pPr>
            <w:r w:rsidRPr="00882976">
              <w:rPr>
                <w:rFonts w:cs="Arial"/>
                <w:szCs w:val="24"/>
              </w:rPr>
              <w:t>56.979</w:t>
            </w:r>
          </w:p>
        </w:tc>
        <w:tc>
          <w:tcPr>
            <w:tcW w:w="1284" w:type="dxa"/>
            <w:vAlign w:val="center"/>
          </w:tcPr>
          <w:p w14:paraId="25DD87A4" w14:textId="77777777" w:rsidR="0047237E" w:rsidRPr="00882976" w:rsidRDefault="0047237E" w:rsidP="0047237E">
            <w:pPr>
              <w:pStyle w:val="NoSpacing"/>
              <w:spacing w:line="276" w:lineRule="auto"/>
              <w:jc w:val="right"/>
              <w:rPr>
                <w:rFonts w:cs="Arial"/>
                <w:szCs w:val="24"/>
              </w:rPr>
            </w:pPr>
            <w:r w:rsidRPr="00882976">
              <w:rPr>
                <w:rFonts w:cs="Arial"/>
                <w:szCs w:val="24"/>
              </w:rPr>
              <w:t>32.894</w:t>
            </w:r>
          </w:p>
        </w:tc>
        <w:tc>
          <w:tcPr>
            <w:tcW w:w="1284" w:type="dxa"/>
            <w:vAlign w:val="center"/>
          </w:tcPr>
          <w:p w14:paraId="3EA97678" w14:textId="77777777" w:rsidR="0047237E" w:rsidRPr="00882976" w:rsidRDefault="0047237E" w:rsidP="0047237E">
            <w:pPr>
              <w:pStyle w:val="NoSpacing"/>
              <w:spacing w:line="276" w:lineRule="auto"/>
              <w:jc w:val="right"/>
              <w:rPr>
                <w:rFonts w:cs="Arial"/>
                <w:szCs w:val="24"/>
              </w:rPr>
            </w:pPr>
            <w:r w:rsidRPr="00882976">
              <w:rPr>
                <w:rFonts w:cs="Arial"/>
                <w:szCs w:val="24"/>
              </w:rPr>
              <w:t>26.928</w:t>
            </w:r>
          </w:p>
        </w:tc>
      </w:tr>
      <w:tr w:rsidR="0047237E" w:rsidRPr="00882976" w14:paraId="02E88343" w14:textId="77777777" w:rsidTr="0047237E">
        <w:trPr>
          <w:trHeight w:val="552"/>
          <w:jc w:val="center"/>
        </w:trPr>
        <w:tc>
          <w:tcPr>
            <w:tcW w:w="3114" w:type="dxa"/>
            <w:vAlign w:val="center"/>
          </w:tcPr>
          <w:p w14:paraId="627956BA" w14:textId="77777777" w:rsidR="0047237E" w:rsidRPr="00882976" w:rsidRDefault="0047237E" w:rsidP="0047237E">
            <w:pPr>
              <w:pStyle w:val="NoSpacing"/>
              <w:spacing w:line="276" w:lineRule="auto"/>
              <w:rPr>
                <w:rFonts w:cs="Arial"/>
                <w:szCs w:val="24"/>
              </w:rPr>
            </w:pPr>
            <w:r w:rsidRPr="00882976">
              <w:rPr>
                <w:rFonts w:cs="Arial"/>
                <w:szCs w:val="24"/>
              </w:rPr>
              <w:t>Business Rates</w:t>
            </w:r>
          </w:p>
        </w:tc>
        <w:tc>
          <w:tcPr>
            <w:tcW w:w="1284" w:type="dxa"/>
            <w:vAlign w:val="center"/>
          </w:tcPr>
          <w:p w14:paraId="6401086B" w14:textId="2445E563" w:rsidR="0047237E" w:rsidRPr="00882976" w:rsidRDefault="0047237E" w:rsidP="003108D3">
            <w:pPr>
              <w:pStyle w:val="NoSpacing"/>
              <w:spacing w:line="276" w:lineRule="auto"/>
              <w:jc w:val="right"/>
              <w:rPr>
                <w:rFonts w:cs="Arial"/>
                <w:szCs w:val="24"/>
              </w:rPr>
            </w:pPr>
            <w:r w:rsidRPr="00882976">
              <w:rPr>
                <w:rFonts w:cs="Arial"/>
                <w:szCs w:val="24"/>
              </w:rPr>
              <w:t>18</w:t>
            </w:r>
            <w:r w:rsidR="003108D3">
              <w:rPr>
                <w:rFonts w:cs="Arial"/>
                <w:szCs w:val="24"/>
              </w:rPr>
              <w:t>1.391</w:t>
            </w:r>
          </w:p>
        </w:tc>
        <w:tc>
          <w:tcPr>
            <w:tcW w:w="1284" w:type="dxa"/>
            <w:vAlign w:val="center"/>
          </w:tcPr>
          <w:p w14:paraId="16ACCB76" w14:textId="74720942" w:rsidR="0047237E" w:rsidRPr="00882976" w:rsidRDefault="0047237E" w:rsidP="003108D3">
            <w:pPr>
              <w:pStyle w:val="NoSpacing"/>
              <w:spacing w:line="276" w:lineRule="auto"/>
              <w:jc w:val="right"/>
              <w:rPr>
                <w:rFonts w:cs="Arial"/>
                <w:szCs w:val="24"/>
              </w:rPr>
            </w:pPr>
            <w:r w:rsidRPr="00882976">
              <w:rPr>
                <w:rFonts w:cs="Arial"/>
                <w:szCs w:val="24"/>
              </w:rPr>
              <w:t>186.</w:t>
            </w:r>
            <w:r w:rsidR="003108D3">
              <w:rPr>
                <w:rFonts w:cs="Arial"/>
                <w:szCs w:val="24"/>
              </w:rPr>
              <w:t>747</w:t>
            </w:r>
          </w:p>
        </w:tc>
        <w:tc>
          <w:tcPr>
            <w:tcW w:w="1284" w:type="dxa"/>
            <w:vAlign w:val="center"/>
          </w:tcPr>
          <w:p w14:paraId="7E06387E" w14:textId="6AB093D8" w:rsidR="0047237E" w:rsidRPr="00882976" w:rsidRDefault="0047237E" w:rsidP="003108D3">
            <w:pPr>
              <w:pStyle w:val="NoSpacing"/>
              <w:spacing w:line="276" w:lineRule="auto"/>
              <w:jc w:val="right"/>
              <w:rPr>
                <w:rFonts w:cs="Arial"/>
                <w:szCs w:val="24"/>
              </w:rPr>
            </w:pPr>
            <w:r w:rsidRPr="00882976">
              <w:rPr>
                <w:rFonts w:cs="Arial"/>
                <w:szCs w:val="24"/>
              </w:rPr>
              <w:t>19</w:t>
            </w:r>
            <w:r w:rsidR="003108D3">
              <w:rPr>
                <w:rFonts w:cs="Arial"/>
                <w:szCs w:val="24"/>
              </w:rPr>
              <w:t>3.323</w:t>
            </w:r>
          </w:p>
        </w:tc>
        <w:tc>
          <w:tcPr>
            <w:tcW w:w="1284" w:type="dxa"/>
            <w:vAlign w:val="center"/>
          </w:tcPr>
          <w:p w14:paraId="4FB236AE" w14:textId="66E8A0CB" w:rsidR="0047237E" w:rsidRPr="00882976" w:rsidRDefault="0047237E" w:rsidP="003108D3">
            <w:pPr>
              <w:pStyle w:val="NoSpacing"/>
              <w:spacing w:line="276" w:lineRule="auto"/>
              <w:jc w:val="right"/>
              <w:rPr>
                <w:rFonts w:cs="Arial"/>
                <w:szCs w:val="24"/>
              </w:rPr>
            </w:pPr>
            <w:r w:rsidRPr="00882976">
              <w:rPr>
                <w:rFonts w:cs="Arial"/>
                <w:szCs w:val="24"/>
              </w:rPr>
              <w:t>19</w:t>
            </w:r>
            <w:r w:rsidR="003108D3">
              <w:rPr>
                <w:rFonts w:cs="Arial"/>
                <w:szCs w:val="24"/>
              </w:rPr>
              <w:t>8.540</w:t>
            </w:r>
          </w:p>
        </w:tc>
      </w:tr>
      <w:tr w:rsidR="0047237E" w:rsidRPr="00882976" w14:paraId="758231DF" w14:textId="77777777" w:rsidTr="0047237E">
        <w:trPr>
          <w:trHeight w:val="552"/>
          <w:jc w:val="center"/>
        </w:trPr>
        <w:tc>
          <w:tcPr>
            <w:tcW w:w="3114" w:type="dxa"/>
            <w:vAlign w:val="center"/>
          </w:tcPr>
          <w:p w14:paraId="2D0050D9" w14:textId="77777777" w:rsidR="0047237E" w:rsidRPr="00882976" w:rsidRDefault="0047237E" w:rsidP="0047237E">
            <w:pPr>
              <w:pStyle w:val="NoSpacing"/>
              <w:spacing w:line="276" w:lineRule="auto"/>
              <w:rPr>
                <w:rFonts w:cs="Arial"/>
                <w:szCs w:val="24"/>
              </w:rPr>
            </w:pPr>
            <w:r w:rsidRPr="00882976">
              <w:rPr>
                <w:rFonts w:cs="Arial"/>
                <w:szCs w:val="24"/>
              </w:rPr>
              <w:t>Council Tax</w:t>
            </w:r>
          </w:p>
        </w:tc>
        <w:tc>
          <w:tcPr>
            <w:tcW w:w="1284" w:type="dxa"/>
            <w:vAlign w:val="center"/>
          </w:tcPr>
          <w:p w14:paraId="002A4E75" w14:textId="77777777" w:rsidR="0047237E" w:rsidRPr="00882976" w:rsidRDefault="0047237E" w:rsidP="0047237E">
            <w:pPr>
              <w:pStyle w:val="NoSpacing"/>
              <w:spacing w:line="276" w:lineRule="auto"/>
              <w:jc w:val="right"/>
              <w:rPr>
                <w:rFonts w:cs="Arial"/>
                <w:szCs w:val="24"/>
              </w:rPr>
            </w:pPr>
            <w:r w:rsidRPr="00882976">
              <w:rPr>
                <w:rFonts w:cs="Arial"/>
                <w:szCs w:val="24"/>
              </w:rPr>
              <w:t>430.627</w:t>
            </w:r>
          </w:p>
        </w:tc>
        <w:tc>
          <w:tcPr>
            <w:tcW w:w="1284" w:type="dxa"/>
            <w:vAlign w:val="center"/>
          </w:tcPr>
          <w:p w14:paraId="72109CC4" w14:textId="77777777" w:rsidR="0047237E" w:rsidRPr="00882976" w:rsidRDefault="0047237E" w:rsidP="0047237E">
            <w:pPr>
              <w:pStyle w:val="NoSpacing"/>
              <w:spacing w:line="276" w:lineRule="auto"/>
              <w:jc w:val="right"/>
              <w:rPr>
                <w:rFonts w:cs="Arial"/>
                <w:szCs w:val="24"/>
              </w:rPr>
            </w:pPr>
            <w:r w:rsidRPr="00882976">
              <w:rPr>
                <w:rFonts w:cs="Arial"/>
                <w:szCs w:val="24"/>
              </w:rPr>
              <w:t>452.288</w:t>
            </w:r>
          </w:p>
        </w:tc>
        <w:tc>
          <w:tcPr>
            <w:tcW w:w="1284" w:type="dxa"/>
            <w:vAlign w:val="center"/>
          </w:tcPr>
          <w:p w14:paraId="025B093D" w14:textId="77777777" w:rsidR="0047237E" w:rsidRPr="00882976" w:rsidRDefault="0047237E" w:rsidP="0047237E">
            <w:pPr>
              <w:pStyle w:val="NoSpacing"/>
              <w:spacing w:line="276" w:lineRule="auto"/>
              <w:jc w:val="right"/>
              <w:rPr>
                <w:rFonts w:cs="Arial"/>
                <w:szCs w:val="24"/>
              </w:rPr>
            </w:pPr>
            <w:r w:rsidRPr="00882976">
              <w:rPr>
                <w:rFonts w:cs="Arial"/>
                <w:szCs w:val="24"/>
              </w:rPr>
              <w:t>475.036</w:t>
            </w:r>
          </w:p>
        </w:tc>
        <w:tc>
          <w:tcPr>
            <w:tcW w:w="1284" w:type="dxa"/>
            <w:vAlign w:val="center"/>
          </w:tcPr>
          <w:p w14:paraId="797E1896" w14:textId="74B6D5B8" w:rsidR="0047237E" w:rsidRPr="00882976" w:rsidRDefault="0047237E" w:rsidP="0047237E">
            <w:pPr>
              <w:pStyle w:val="NoSpacing"/>
              <w:spacing w:line="276" w:lineRule="auto"/>
              <w:jc w:val="right"/>
              <w:rPr>
                <w:rFonts w:cs="Arial"/>
                <w:szCs w:val="24"/>
              </w:rPr>
            </w:pPr>
            <w:r w:rsidRPr="00882976">
              <w:rPr>
                <w:rFonts w:cs="Arial"/>
                <w:szCs w:val="24"/>
              </w:rPr>
              <w:t>4</w:t>
            </w:r>
            <w:r>
              <w:rPr>
                <w:rFonts w:cs="Arial"/>
                <w:szCs w:val="24"/>
              </w:rPr>
              <w:t>89.334</w:t>
            </w:r>
          </w:p>
        </w:tc>
      </w:tr>
      <w:tr w:rsidR="0047237E" w:rsidRPr="00882976" w14:paraId="74F9C78F" w14:textId="77777777" w:rsidTr="0047237E">
        <w:trPr>
          <w:trHeight w:val="552"/>
          <w:jc w:val="center"/>
        </w:trPr>
        <w:tc>
          <w:tcPr>
            <w:tcW w:w="3114" w:type="dxa"/>
            <w:vAlign w:val="center"/>
          </w:tcPr>
          <w:p w14:paraId="1EC020D7" w14:textId="77777777" w:rsidR="0047237E" w:rsidRPr="00882976" w:rsidRDefault="0047237E" w:rsidP="0047237E">
            <w:pPr>
              <w:pStyle w:val="NoSpacing"/>
              <w:spacing w:line="276" w:lineRule="auto"/>
              <w:rPr>
                <w:rFonts w:cs="Arial"/>
                <w:szCs w:val="24"/>
              </w:rPr>
            </w:pPr>
            <w:r w:rsidRPr="00882976">
              <w:rPr>
                <w:rFonts w:cs="Arial"/>
                <w:szCs w:val="24"/>
              </w:rPr>
              <w:t>New Homes Bonus</w:t>
            </w:r>
          </w:p>
        </w:tc>
        <w:tc>
          <w:tcPr>
            <w:tcW w:w="1284" w:type="dxa"/>
            <w:vAlign w:val="center"/>
          </w:tcPr>
          <w:p w14:paraId="4BB89014" w14:textId="07729AF2" w:rsidR="0047237E" w:rsidRPr="00882976" w:rsidRDefault="0047237E" w:rsidP="003108D3">
            <w:pPr>
              <w:pStyle w:val="NoSpacing"/>
              <w:spacing w:line="276" w:lineRule="auto"/>
              <w:jc w:val="right"/>
              <w:rPr>
                <w:rFonts w:cs="Arial"/>
                <w:szCs w:val="24"/>
              </w:rPr>
            </w:pPr>
            <w:r w:rsidRPr="00882976">
              <w:rPr>
                <w:rFonts w:cs="Arial"/>
                <w:szCs w:val="24"/>
              </w:rPr>
              <w:t>5.</w:t>
            </w:r>
            <w:r w:rsidR="003108D3">
              <w:rPr>
                <w:rFonts w:cs="Arial"/>
                <w:szCs w:val="24"/>
              </w:rPr>
              <w:t>244</w:t>
            </w:r>
          </w:p>
        </w:tc>
        <w:tc>
          <w:tcPr>
            <w:tcW w:w="1284" w:type="dxa"/>
            <w:vAlign w:val="center"/>
          </w:tcPr>
          <w:p w14:paraId="027C1D0C" w14:textId="6DF5FE9F" w:rsidR="0047237E" w:rsidRPr="00882976" w:rsidRDefault="0047237E" w:rsidP="003108D3">
            <w:pPr>
              <w:pStyle w:val="NoSpacing"/>
              <w:spacing w:line="276" w:lineRule="auto"/>
              <w:jc w:val="right"/>
              <w:rPr>
                <w:rFonts w:cs="Arial"/>
                <w:szCs w:val="24"/>
              </w:rPr>
            </w:pPr>
            <w:r w:rsidRPr="00882976">
              <w:rPr>
                <w:rFonts w:cs="Arial"/>
                <w:szCs w:val="24"/>
              </w:rPr>
              <w:t>3.</w:t>
            </w:r>
            <w:r w:rsidR="003108D3">
              <w:rPr>
                <w:rFonts w:cs="Arial"/>
                <w:szCs w:val="24"/>
              </w:rPr>
              <w:t>679</w:t>
            </w:r>
          </w:p>
        </w:tc>
        <w:tc>
          <w:tcPr>
            <w:tcW w:w="1284" w:type="dxa"/>
            <w:vAlign w:val="center"/>
          </w:tcPr>
          <w:p w14:paraId="6E72F74D" w14:textId="3F164DC9" w:rsidR="0047237E" w:rsidRPr="00882976" w:rsidRDefault="0047237E" w:rsidP="003108D3">
            <w:pPr>
              <w:pStyle w:val="NoSpacing"/>
              <w:spacing w:line="276" w:lineRule="auto"/>
              <w:jc w:val="right"/>
              <w:rPr>
                <w:rFonts w:cs="Arial"/>
                <w:szCs w:val="24"/>
              </w:rPr>
            </w:pPr>
            <w:r w:rsidRPr="00882976">
              <w:rPr>
                <w:rFonts w:cs="Arial"/>
                <w:szCs w:val="24"/>
              </w:rPr>
              <w:t>3.</w:t>
            </w:r>
            <w:r w:rsidR="003108D3">
              <w:rPr>
                <w:rFonts w:cs="Arial"/>
                <w:szCs w:val="24"/>
              </w:rPr>
              <w:t>530</w:t>
            </w:r>
          </w:p>
        </w:tc>
        <w:tc>
          <w:tcPr>
            <w:tcW w:w="1284" w:type="dxa"/>
            <w:vAlign w:val="center"/>
          </w:tcPr>
          <w:p w14:paraId="4B8629AE" w14:textId="0751BBE2" w:rsidR="0047237E" w:rsidRPr="00882976" w:rsidRDefault="0047237E" w:rsidP="003108D3">
            <w:pPr>
              <w:pStyle w:val="NoSpacing"/>
              <w:spacing w:line="276" w:lineRule="auto"/>
              <w:jc w:val="right"/>
              <w:rPr>
                <w:rFonts w:cs="Arial"/>
                <w:szCs w:val="24"/>
              </w:rPr>
            </w:pPr>
            <w:r w:rsidRPr="00882976">
              <w:rPr>
                <w:rFonts w:cs="Arial"/>
                <w:szCs w:val="24"/>
              </w:rPr>
              <w:t>3.</w:t>
            </w:r>
            <w:r w:rsidR="003108D3">
              <w:rPr>
                <w:rFonts w:cs="Arial"/>
                <w:szCs w:val="24"/>
              </w:rPr>
              <w:t>530</w:t>
            </w:r>
          </w:p>
        </w:tc>
      </w:tr>
      <w:tr w:rsidR="0047237E" w:rsidRPr="00882976" w14:paraId="4D8CB4A1" w14:textId="77777777" w:rsidTr="0047237E">
        <w:trPr>
          <w:trHeight w:val="552"/>
          <w:jc w:val="center"/>
        </w:trPr>
        <w:tc>
          <w:tcPr>
            <w:tcW w:w="3114" w:type="dxa"/>
            <w:vAlign w:val="center"/>
          </w:tcPr>
          <w:p w14:paraId="2D69A080" w14:textId="77777777" w:rsidR="0047237E" w:rsidRPr="00882976" w:rsidRDefault="0047237E" w:rsidP="0047237E">
            <w:pPr>
              <w:pStyle w:val="NoSpacing"/>
              <w:spacing w:line="276" w:lineRule="auto"/>
              <w:rPr>
                <w:rFonts w:cs="Arial"/>
                <w:szCs w:val="24"/>
              </w:rPr>
            </w:pPr>
            <w:r w:rsidRPr="00882976">
              <w:rPr>
                <w:rFonts w:cs="Arial"/>
                <w:szCs w:val="24"/>
              </w:rPr>
              <w:t>Better Care Fund</w:t>
            </w:r>
          </w:p>
        </w:tc>
        <w:tc>
          <w:tcPr>
            <w:tcW w:w="1284" w:type="dxa"/>
            <w:vAlign w:val="center"/>
          </w:tcPr>
          <w:p w14:paraId="483F298A" w14:textId="77777777" w:rsidR="0047237E" w:rsidRPr="00882976" w:rsidRDefault="0047237E" w:rsidP="0047237E">
            <w:pPr>
              <w:pStyle w:val="NoSpacing"/>
              <w:spacing w:line="276" w:lineRule="auto"/>
              <w:jc w:val="right"/>
              <w:rPr>
                <w:rFonts w:cs="Arial"/>
                <w:szCs w:val="24"/>
              </w:rPr>
            </w:pPr>
            <w:r w:rsidRPr="00882976">
              <w:rPr>
                <w:rFonts w:cs="Arial"/>
                <w:szCs w:val="24"/>
              </w:rPr>
              <w:t>3.210</w:t>
            </w:r>
          </w:p>
        </w:tc>
        <w:tc>
          <w:tcPr>
            <w:tcW w:w="1284" w:type="dxa"/>
            <w:vAlign w:val="center"/>
          </w:tcPr>
          <w:p w14:paraId="3A296135" w14:textId="77777777" w:rsidR="0047237E" w:rsidRPr="00882976" w:rsidRDefault="0047237E" w:rsidP="0047237E">
            <w:pPr>
              <w:pStyle w:val="NoSpacing"/>
              <w:spacing w:line="276" w:lineRule="auto"/>
              <w:jc w:val="right"/>
              <w:rPr>
                <w:rFonts w:cs="Arial"/>
                <w:szCs w:val="24"/>
              </w:rPr>
            </w:pPr>
            <w:r w:rsidRPr="00882976">
              <w:rPr>
                <w:rFonts w:cs="Arial"/>
                <w:szCs w:val="24"/>
              </w:rPr>
              <w:t>22.656</w:t>
            </w:r>
          </w:p>
        </w:tc>
        <w:tc>
          <w:tcPr>
            <w:tcW w:w="1284" w:type="dxa"/>
            <w:vAlign w:val="center"/>
          </w:tcPr>
          <w:p w14:paraId="6083126E" w14:textId="77777777" w:rsidR="0047237E" w:rsidRPr="00882976" w:rsidRDefault="0047237E" w:rsidP="0047237E">
            <w:pPr>
              <w:pStyle w:val="NoSpacing"/>
              <w:spacing w:line="276" w:lineRule="auto"/>
              <w:jc w:val="right"/>
              <w:rPr>
                <w:rFonts w:cs="Arial"/>
                <w:szCs w:val="24"/>
              </w:rPr>
            </w:pPr>
            <w:r w:rsidRPr="00882976">
              <w:rPr>
                <w:rFonts w:cs="Arial"/>
                <w:szCs w:val="24"/>
              </w:rPr>
              <w:t>40.014</w:t>
            </w:r>
          </w:p>
        </w:tc>
        <w:tc>
          <w:tcPr>
            <w:tcW w:w="1284" w:type="dxa"/>
            <w:vAlign w:val="center"/>
          </w:tcPr>
          <w:p w14:paraId="1F67008C" w14:textId="77777777" w:rsidR="0047237E" w:rsidRPr="00882976" w:rsidRDefault="0047237E" w:rsidP="0047237E">
            <w:pPr>
              <w:pStyle w:val="NoSpacing"/>
              <w:spacing w:line="276" w:lineRule="auto"/>
              <w:jc w:val="right"/>
              <w:rPr>
                <w:rFonts w:cs="Arial"/>
                <w:szCs w:val="24"/>
              </w:rPr>
            </w:pPr>
            <w:r w:rsidRPr="00882976">
              <w:rPr>
                <w:rFonts w:cs="Arial"/>
                <w:szCs w:val="24"/>
              </w:rPr>
              <w:t>40.014</w:t>
            </w:r>
          </w:p>
        </w:tc>
      </w:tr>
      <w:tr w:rsidR="003108D3" w:rsidRPr="00882976" w14:paraId="579F6253" w14:textId="77777777" w:rsidTr="0047237E">
        <w:trPr>
          <w:trHeight w:val="552"/>
          <w:jc w:val="center"/>
        </w:trPr>
        <w:tc>
          <w:tcPr>
            <w:tcW w:w="3114" w:type="dxa"/>
            <w:vAlign w:val="center"/>
          </w:tcPr>
          <w:p w14:paraId="409A4AB2" w14:textId="4CBB9628" w:rsidR="003108D3" w:rsidRPr="00882976" w:rsidRDefault="003108D3" w:rsidP="0047237E">
            <w:pPr>
              <w:pStyle w:val="NoSpacing"/>
              <w:spacing w:line="276" w:lineRule="auto"/>
              <w:rPr>
                <w:rFonts w:cs="Arial"/>
                <w:szCs w:val="24"/>
              </w:rPr>
            </w:pPr>
            <w:r>
              <w:rPr>
                <w:rFonts w:cs="Arial"/>
              </w:rPr>
              <w:t>Adult Care Support Grant</w:t>
            </w:r>
          </w:p>
        </w:tc>
        <w:tc>
          <w:tcPr>
            <w:tcW w:w="1284" w:type="dxa"/>
            <w:vAlign w:val="center"/>
          </w:tcPr>
          <w:p w14:paraId="7A3061AE" w14:textId="015E273D" w:rsidR="003108D3" w:rsidRPr="00882976" w:rsidRDefault="003108D3" w:rsidP="00C557EF">
            <w:pPr>
              <w:pStyle w:val="NoSpacing"/>
              <w:spacing w:line="276" w:lineRule="auto"/>
              <w:jc w:val="right"/>
              <w:rPr>
                <w:rFonts w:cs="Arial"/>
                <w:szCs w:val="24"/>
              </w:rPr>
            </w:pPr>
            <w:r>
              <w:rPr>
                <w:rFonts w:cs="Arial"/>
                <w:szCs w:val="24"/>
              </w:rPr>
              <w:t>5.</w:t>
            </w:r>
            <w:r w:rsidR="00C557EF">
              <w:rPr>
                <w:rFonts w:cs="Arial"/>
                <w:szCs w:val="24"/>
              </w:rPr>
              <w:t>543</w:t>
            </w:r>
          </w:p>
        </w:tc>
        <w:tc>
          <w:tcPr>
            <w:tcW w:w="1284" w:type="dxa"/>
            <w:vAlign w:val="center"/>
          </w:tcPr>
          <w:p w14:paraId="2D205A4E" w14:textId="6491661A" w:rsidR="003108D3" w:rsidRPr="00882976" w:rsidRDefault="003108D3" w:rsidP="0047237E">
            <w:pPr>
              <w:pStyle w:val="NoSpacing"/>
              <w:spacing w:line="276" w:lineRule="auto"/>
              <w:jc w:val="right"/>
              <w:rPr>
                <w:rFonts w:cs="Arial"/>
                <w:szCs w:val="24"/>
              </w:rPr>
            </w:pPr>
            <w:r>
              <w:rPr>
                <w:rFonts w:cs="Arial"/>
                <w:szCs w:val="24"/>
              </w:rPr>
              <w:t>0.000</w:t>
            </w:r>
          </w:p>
        </w:tc>
        <w:tc>
          <w:tcPr>
            <w:tcW w:w="1284" w:type="dxa"/>
            <w:vAlign w:val="center"/>
          </w:tcPr>
          <w:p w14:paraId="4D35332F" w14:textId="3906F153" w:rsidR="003108D3" w:rsidRPr="00882976" w:rsidRDefault="003108D3" w:rsidP="0047237E">
            <w:pPr>
              <w:pStyle w:val="NoSpacing"/>
              <w:spacing w:line="276" w:lineRule="auto"/>
              <w:jc w:val="right"/>
              <w:rPr>
                <w:rFonts w:cs="Arial"/>
                <w:szCs w:val="24"/>
              </w:rPr>
            </w:pPr>
            <w:r>
              <w:rPr>
                <w:rFonts w:cs="Arial"/>
                <w:szCs w:val="24"/>
              </w:rPr>
              <w:t>0.000</w:t>
            </w:r>
          </w:p>
        </w:tc>
        <w:tc>
          <w:tcPr>
            <w:tcW w:w="1284" w:type="dxa"/>
            <w:vAlign w:val="center"/>
          </w:tcPr>
          <w:p w14:paraId="0CF96B8B" w14:textId="5A64DCFC" w:rsidR="003108D3" w:rsidRPr="00882976" w:rsidRDefault="003108D3" w:rsidP="0047237E">
            <w:pPr>
              <w:pStyle w:val="NoSpacing"/>
              <w:spacing w:line="276" w:lineRule="auto"/>
              <w:jc w:val="right"/>
              <w:rPr>
                <w:rFonts w:cs="Arial"/>
                <w:szCs w:val="24"/>
              </w:rPr>
            </w:pPr>
            <w:r>
              <w:rPr>
                <w:rFonts w:cs="Arial"/>
                <w:szCs w:val="24"/>
              </w:rPr>
              <w:t>0.000</w:t>
            </w:r>
          </w:p>
        </w:tc>
      </w:tr>
      <w:tr w:rsidR="0047237E" w:rsidRPr="00882976" w14:paraId="09B2FB9F" w14:textId="77777777" w:rsidTr="0047237E">
        <w:trPr>
          <w:trHeight w:val="552"/>
          <w:jc w:val="center"/>
        </w:trPr>
        <w:tc>
          <w:tcPr>
            <w:tcW w:w="3114" w:type="dxa"/>
            <w:vAlign w:val="center"/>
          </w:tcPr>
          <w:p w14:paraId="29FA600D" w14:textId="77777777" w:rsidR="0047237E" w:rsidRPr="00882976" w:rsidRDefault="0047237E" w:rsidP="0047237E">
            <w:pPr>
              <w:pStyle w:val="NoSpacing"/>
              <w:spacing w:line="276" w:lineRule="auto"/>
              <w:rPr>
                <w:rFonts w:cs="Arial"/>
                <w:szCs w:val="24"/>
              </w:rPr>
            </w:pPr>
            <w:r w:rsidRPr="00882976">
              <w:rPr>
                <w:rFonts w:cs="Arial"/>
                <w:szCs w:val="24"/>
              </w:rPr>
              <w:t>Transitional Grant</w:t>
            </w:r>
          </w:p>
        </w:tc>
        <w:tc>
          <w:tcPr>
            <w:tcW w:w="1284" w:type="dxa"/>
            <w:vAlign w:val="center"/>
          </w:tcPr>
          <w:p w14:paraId="0543AB38" w14:textId="77777777" w:rsidR="0047237E" w:rsidRPr="00882976" w:rsidRDefault="0047237E" w:rsidP="0047237E">
            <w:pPr>
              <w:pStyle w:val="NoSpacing"/>
              <w:spacing w:line="276" w:lineRule="auto"/>
              <w:jc w:val="right"/>
              <w:rPr>
                <w:rFonts w:cs="Arial"/>
                <w:szCs w:val="24"/>
              </w:rPr>
            </w:pPr>
            <w:r w:rsidRPr="00882976">
              <w:rPr>
                <w:rFonts w:cs="Arial"/>
                <w:szCs w:val="24"/>
              </w:rPr>
              <w:t>1.154</w:t>
            </w:r>
          </w:p>
        </w:tc>
        <w:tc>
          <w:tcPr>
            <w:tcW w:w="1284" w:type="dxa"/>
            <w:vAlign w:val="center"/>
          </w:tcPr>
          <w:p w14:paraId="100C2451" w14:textId="77777777" w:rsidR="0047237E" w:rsidRPr="00882976" w:rsidRDefault="0047237E" w:rsidP="0047237E">
            <w:pPr>
              <w:pStyle w:val="NoSpacing"/>
              <w:spacing w:line="276" w:lineRule="auto"/>
              <w:jc w:val="right"/>
              <w:rPr>
                <w:rFonts w:cs="Arial"/>
                <w:szCs w:val="24"/>
              </w:rPr>
            </w:pPr>
            <w:r w:rsidRPr="00882976">
              <w:rPr>
                <w:rFonts w:cs="Arial"/>
                <w:szCs w:val="24"/>
              </w:rPr>
              <w:t>0.000</w:t>
            </w:r>
          </w:p>
        </w:tc>
        <w:tc>
          <w:tcPr>
            <w:tcW w:w="1284" w:type="dxa"/>
            <w:vAlign w:val="center"/>
          </w:tcPr>
          <w:p w14:paraId="3CD9E7E8" w14:textId="77777777" w:rsidR="0047237E" w:rsidRPr="00882976" w:rsidRDefault="0047237E" w:rsidP="0047237E">
            <w:pPr>
              <w:pStyle w:val="NoSpacing"/>
              <w:spacing w:line="276" w:lineRule="auto"/>
              <w:jc w:val="right"/>
              <w:rPr>
                <w:rFonts w:cs="Arial"/>
                <w:szCs w:val="24"/>
              </w:rPr>
            </w:pPr>
            <w:r w:rsidRPr="00882976">
              <w:rPr>
                <w:rFonts w:cs="Arial"/>
                <w:szCs w:val="24"/>
              </w:rPr>
              <w:t>0.000</w:t>
            </w:r>
          </w:p>
        </w:tc>
        <w:tc>
          <w:tcPr>
            <w:tcW w:w="1284" w:type="dxa"/>
            <w:vAlign w:val="center"/>
          </w:tcPr>
          <w:p w14:paraId="0EA276C4" w14:textId="77777777" w:rsidR="0047237E" w:rsidRPr="00882976" w:rsidRDefault="0047237E" w:rsidP="0047237E">
            <w:pPr>
              <w:pStyle w:val="NoSpacing"/>
              <w:spacing w:line="276" w:lineRule="auto"/>
              <w:jc w:val="right"/>
              <w:rPr>
                <w:rFonts w:cs="Arial"/>
                <w:szCs w:val="24"/>
              </w:rPr>
            </w:pPr>
            <w:r w:rsidRPr="00882976">
              <w:rPr>
                <w:rFonts w:cs="Arial"/>
                <w:szCs w:val="24"/>
              </w:rPr>
              <w:t>0.000</w:t>
            </w:r>
          </w:p>
        </w:tc>
      </w:tr>
      <w:tr w:rsidR="0047237E" w:rsidRPr="00882976" w14:paraId="42A25392" w14:textId="77777777" w:rsidTr="0047237E">
        <w:trPr>
          <w:trHeight w:val="552"/>
          <w:jc w:val="center"/>
        </w:trPr>
        <w:tc>
          <w:tcPr>
            <w:tcW w:w="3114" w:type="dxa"/>
            <w:vAlign w:val="center"/>
          </w:tcPr>
          <w:p w14:paraId="326BC201" w14:textId="77777777" w:rsidR="0047237E" w:rsidRPr="00882976" w:rsidRDefault="0047237E" w:rsidP="0047237E">
            <w:pPr>
              <w:pStyle w:val="NoSpacing"/>
              <w:spacing w:line="276" w:lineRule="auto"/>
              <w:rPr>
                <w:rFonts w:cs="Arial"/>
                <w:szCs w:val="24"/>
              </w:rPr>
            </w:pPr>
            <w:r w:rsidRPr="00882976">
              <w:rPr>
                <w:rFonts w:cs="Arial"/>
                <w:szCs w:val="24"/>
              </w:rPr>
              <w:t>Capital receipts</w:t>
            </w:r>
          </w:p>
        </w:tc>
        <w:tc>
          <w:tcPr>
            <w:tcW w:w="1284" w:type="dxa"/>
            <w:vAlign w:val="center"/>
          </w:tcPr>
          <w:p w14:paraId="6AFE5F87" w14:textId="77777777" w:rsidR="0047237E" w:rsidRPr="00882976" w:rsidRDefault="0047237E" w:rsidP="0047237E">
            <w:pPr>
              <w:pStyle w:val="NoSpacing"/>
              <w:spacing w:line="276" w:lineRule="auto"/>
              <w:jc w:val="right"/>
              <w:rPr>
                <w:rFonts w:cs="Arial"/>
                <w:szCs w:val="24"/>
              </w:rPr>
            </w:pPr>
            <w:r w:rsidRPr="00882976">
              <w:rPr>
                <w:rFonts w:cs="Arial"/>
                <w:szCs w:val="24"/>
              </w:rPr>
              <w:t>12.500</w:t>
            </w:r>
          </w:p>
        </w:tc>
        <w:tc>
          <w:tcPr>
            <w:tcW w:w="1284" w:type="dxa"/>
            <w:vAlign w:val="center"/>
          </w:tcPr>
          <w:p w14:paraId="3BA39C9A" w14:textId="77777777" w:rsidR="0047237E" w:rsidRPr="00882976" w:rsidRDefault="0047237E" w:rsidP="0047237E">
            <w:pPr>
              <w:pStyle w:val="NoSpacing"/>
              <w:spacing w:line="276" w:lineRule="auto"/>
              <w:jc w:val="right"/>
              <w:rPr>
                <w:rFonts w:cs="Arial"/>
                <w:szCs w:val="24"/>
              </w:rPr>
            </w:pPr>
            <w:r w:rsidRPr="00882976">
              <w:rPr>
                <w:rFonts w:cs="Arial"/>
                <w:szCs w:val="24"/>
              </w:rPr>
              <w:t>5.000</w:t>
            </w:r>
          </w:p>
        </w:tc>
        <w:tc>
          <w:tcPr>
            <w:tcW w:w="1284" w:type="dxa"/>
            <w:vAlign w:val="center"/>
          </w:tcPr>
          <w:p w14:paraId="0EBBA2C7" w14:textId="77777777" w:rsidR="0047237E" w:rsidRPr="00882976" w:rsidRDefault="0047237E" w:rsidP="0047237E">
            <w:pPr>
              <w:pStyle w:val="NoSpacing"/>
              <w:spacing w:line="276" w:lineRule="auto"/>
              <w:jc w:val="right"/>
              <w:rPr>
                <w:rFonts w:cs="Arial"/>
                <w:szCs w:val="24"/>
              </w:rPr>
            </w:pPr>
            <w:r w:rsidRPr="00882976">
              <w:rPr>
                <w:rFonts w:cs="Arial"/>
                <w:szCs w:val="24"/>
              </w:rPr>
              <w:t>0.000</w:t>
            </w:r>
          </w:p>
        </w:tc>
        <w:tc>
          <w:tcPr>
            <w:tcW w:w="1284" w:type="dxa"/>
            <w:vAlign w:val="center"/>
          </w:tcPr>
          <w:p w14:paraId="4F60762C" w14:textId="77777777" w:rsidR="0047237E" w:rsidRPr="00882976" w:rsidRDefault="0047237E" w:rsidP="0047237E">
            <w:pPr>
              <w:pStyle w:val="NoSpacing"/>
              <w:spacing w:line="276" w:lineRule="auto"/>
              <w:jc w:val="right"/>
              <w:rPr>
                <w:rFonts w:cs="Arial"/>
                <w:szCs w:val="24"/>
              </w:rPr>
            </w:pPr>
            <w:r w:rsidRPr="00882976">
              <w:rPr>
                <w:rFonts w:cs="Arial"/>
                <w:szCs w:val="24"/>
              </w:rPr>
              <w:t>0.000</w:t>
            </w:r>
          </w:p>
        </w:tc>
      </w:tr>
      <w:tr w:rsidR="0047237E" w:rsidRPr="00882976" w14:paraId="3534CB93" w14:textId="77777777" w:rsidTr="0047237E">
        <w:trPr>
          <w:trHeight w:val="552"/>
          <w:jc w:val="center"/>
        </w:trPr>
        <w:tc>
          <w:tcPr>
            <w:tcW w:w="3114" w:type="dxa"/>
            <w:vAlign w:val="center"/>
          </w:tcPr>
          <w:p w14:paraId="686CDCDB" w14:textId="77777777" w:rsidR="0047237E" w:rsidRPr="00882976" w:rsidRDefault="0047237E" w:rsidP="0047237E">
            <w:pPr>
              <w:pStyle w:val="NoSpacing"/>
              <w:spacing w:line="276" w:lineRule="auto"/>
              <w:jc w:val="both"/>
              <w:rPr>
                <w:rFonts w:cs="Arial"/>
                <w:b/>
                <w:szCs w:val="24"/>
              </w:rPr>
            </w:pPr>
            <w:r w:rsidRPr="00882976">
              <w:rPr>
                <w:rFonts w:cs="Arial"/>
                <w:b/>
                <w:szCs w:val="24"/>
              </w:rPr>
              <w:t>Total</w:t>
            </w:r>
          </w:p>
        </w:tc>
        <w:tc>
          <w:tcPr>
            <w:tcW w:w="1284" w:type="dxa"/>
            <w:vAlign w:val="center"/>
          </w:tcPr>
          <w:p w14:paraId="3361AF13" w14:textId="1413FDEB" w:rsidR="0047237E" w:rsidRPr="00882976" w:rsidRDefault="0047237E" w:rsidP="00C557EF">
            <w:pPr>
              <w:spacing w:line="276" w:lineRule="auto"/>
              <w:jc w:val="right"/>
              <w:rPr>
                <w:rFonts w:cs="Arial"/>
                <w:b/>
                <w:lang w:eastAsia="en-GB"/>
              </w:rPr>
            </w:pPr>
            <w:r w:rsidRPr="00882976">
              <w:rPr>
                <w:rFonts w:cs="Arial"/>
                <w:b/>
                <w:lang w:eastAsia="en-GB"/>
              </w:rPr>
              <w:t>7</w:t>
            </w:r>
            <w:r w:rsidR="003108D3">
              <w:rPr>
                <w:rFonts w:cs="Arial"/>
                <w:b/>
                <w:lang w:eastAsia="en-GB"/>
              </w:rPr>
              <w:t>21.</w:t>
            </w:r>
            <w:r w:rsidR="00C557EF">
              <w:rPr>
                <w:rFonts w:cs="Arial"/>
                <w:b/>
                <w:lang w:eastAsia="en-GB"/>
              </w:rPr>
              <w:t>177</w:t>
            </w:r>
          </w:p>
        </w:tc>
        <w:tc>
          <w:tcPr>
            <w:tcW w:w="1284" w:type="dxa"/>
            <w:vAlign w:val="center"/>
          </w:tcPr>
          <w:p w14:paraId="45864CDC" w14:textId="6FFDBCD4" w:rsidR="0047237E" w:rsidRPr="00882976" w:rsidRDefault="0047237E" w:rsidP="003108D3">
            <w:pPr>
              <w:spacing w:line="276" w:lineRule="auto"/>
              <w:jc w:val="right"/>
              <w:rPr>
                <w:rFonts w:cs="Arial"/>
                <w:b/>
                <w:lang w:eastAsia="en-GB"/>
              </w:rPr>
            </w:pPr>
            <w:r w:rsidRPr="00882976">
              <w:rPr>
                <w:rFonts w:cs="Arial"/>
                <w:b/>
                <w:lang w:eastAsia="en-GB"/>
              </w:rPr>
              <w:t>72</w:t>
            </w:r>
            <w:r w:rsidR="003108D3">
              <w:rPr>
                <w:rFonts w:cs="Arial"/>
                <w:b/>
                <w:lang w:eastAsia="en-GB"/>
              </w:rPr>
              <w:t>7.349</w:t>
            </w:r>
          </w:p>
        </w:tc>
        <w:tc>
          <w:tcPr>
            <w:tcW w:w="1284" w:type="dxa"/>
            <w:vAlign w:val="center"/>
          </w:tcPr>
          <w:p w14:paraId="4C3F6F69" w14:textId="1EEB2A6B" w:rsidR="0047237E" w:rsidRPr="00882976" w:rsidRDefault="0047237E" w:rsidP="003108D3">
            <w:pPr>
              <w:spacing w:line="276" w:lineRule="auto"/>
              <w:jc w:val="right"/>
              <w:rPr>
                <w:rFonts w:cs="Arial"/>
                <w:b/>
                <w:lang w:eastAsia="en-GB"/>
              </w:rPr>
            </w:pPr>
            <w:r w:rsidRPr="00882976">
              <w:rPr>
                <w:rFonts w:cs="Arial"/>
                <w:b/>
                <w:lang w:eastAsia="en-GB"/>
              </w:rPr>
              <w:t>74</w:t>
            </w:r>
            <w:r w:rsidR="003108D3">
              <w:rPr>
                <w:rFonts w:cs="Arial"/>
                <w:b/>
                <w:lang w:eastAsia="en-GB"/>
              </w:rPr>
              <w:t>4.797</w:t>
            </w:r>
          </w:p>
        </w:tc>
        <w:tc>
          <w:tcPr>
            <w:tcW w:w="1284" w:type="dxa"/>
            <w:vAlign w:val="center"/>
          </w:tcPr>
          <w:p w14:paraId="38A1E0AB" w14:textId="512DE3EA" w:rsidR="0047237E" w:rsidRPr="00882976" w:rsidRDefault="0047237E" w:rsidP="009C1E43">
            <w:pPr>
              <w:spacing w:line="276" w:lineRule="auto"/>
              <w:jc w:val="right"/>
              <w:rPr>
                <w:rFonts w:cs="Arial"/>
                <w:b/>
                <w:lang w:eastAsia="en-GB"/>
              </w:rPr>
            </w:pPr>
            <w:r w:rsidRPr="00882976">
              <w:rPr>
                <w:rFonts w:cs="Arial"/>
                <w:b/>
                <w:lang w:eastAsia="en-GB"/>
              </w:rPr>
              <w:t>7</w:t>
            </w:r>
            <w:r w:rsidR="009C1E43">
              <w:rPr>
                <w:rFonts w:cs="Arial"/>
                <w:b/>
                <w:lang w:eastAsia="en-GB"/>
              </w:rPr>
              <w:t>58.346</w:t>
            </w:r>
          </w:p>
        </w:tc>
      </w:tr>
    </w:tbl>
    <w:p w14:paraId="22FD605F" w14:textId="77777777" w:rsidR="003A36B4" w:rsidRDefault="003A36B4" w:rsidP="003A36B4">
      <w:pPr>
        <w:spacing w:after="0"/>
        <w:rPr>
          <w:rFonts w:cs="Arial"/>
        </w:rPr>
      </w:pPr>
    </w:p>
    <w:p w14:paraId="345B01C9" w14:textId="3135C650" w:rsidR="00C557EF" w:rsidRPr="000E5472" w:rsidRDefault="000E5472" w:rsidP="003A36B4">
      <w:pPr>
        <w:spacing w:after="0"/>
        <w:rPr>
          <w:rFonts w:cs="Arial"/>
          <w:b/>
        </w:rPr>
      </w:pPr>
      <w:r>
        <w:rPr>
          <w:rFonts w:cs="Arial"/>
          <w:b/>
        </w:rPr>
        <w:t>2.1 Provisional Local Gov</w:t>
      </w:r>
      <w:r w:rsidR="00C557EF" w:rsidRPr="000E5472">
        <w:rPr>
          <w:rFonts w:cs="Arial"/>
          <w:b/>
        </w:rPr>
        <w:t>ernment Finance Settlement</w:t>
      </w:r>
    </w:p>
    <w:p w14:paraId="64E7694C" w14:textId="77777777" w:rsidR="00C557EF" w:rsidRDefault="00C557EF" w:rsidP="003A36B4">
      <w:pPr>
        <w:spacing w:after="0"/>
        <w:rPr>
          <w:rFonts w:cs="Arial"/>
        </w:rPr>
      </w:pPr>
    </w:p>
    <w:p w14:paraId="7A71EAEC" w14:textId="4B2A273C" w:rsidR="00C557EF" w:rsidRDefault="00C557EF" w:rsidP="003A36B4">
      <w:pPr>
        <w:spacing w:after="0"/>
        <w:rPr>
          <w:rFonts w:cs="Arial"/>
        </w:rPr>
      </w:pPr>
      <w:r>
        <w:rPr>
          <w:rFonts w:cs="Arial"/>
        </w:rPr>
        <w:t>The Secretary of State announced the Provisional Local Government Finance Settlement on 15</w:t>
      </w:r>
      <w:r w:rsidRPr="000E5472">
        <w:rPr>
          <w:rFonts w:cs="Arial"/>
          <w:vertAlign w:val="superscript"/>
        </w:rPr>
        <w:t>th</w:t>
      </w:r>
      <w:r>
        <w:rPr>
          <w:rFonts w:cs="Arial"/>
        </w:rPr>
        <w:t xml:space="preserve"> December</w:t>
      </w:r>
      <w:r w:rsidR="000E5472">
        <w:rPr>
          <w:rFonts w:cs="Arial"/>
        </w:rPr>
        <w:t xml:space="preserve"> 2016</w:t>
      </w:r>
      <w:r>
        <w:rPr>
          <w:rFonts w:cs="Arial"/>
        </w:rPr>
        <w:t>. This has resulted in some amendments to the finance assumptions as outlined below.</w:t>
      </w:r>
      <w:r w:rsidR="001C6D3B">
        <w:rPr>
          <w:rFonts w:cs="Arial"/>
        </w:rPr>
        <w:t xml:space="preserve"> It is important to note that the Settlement only covers the period up to 2019/20. It is currently anticipated that a new system of local government finance will be in place in 2020/21 which involves local government retaining all of the business rates and </w:t>
      </w:r>
      <w:r w:rsidR="004F5A89">
        <w:rPr>
          <w:rFonts w:cs="Arial"/>
        </w:rPr>
        <w:t>the impact of a review of the funding formula. (</w:t>
      </w:r>
      <w:r w:rsidR="001C6D3B">
        <w:rPr>
          <w:rFonts w:cs="Arial"/>
        </w:rPr>
        <w:t>However, details of the scheme and the impact on Lancashire are not known</w:t>
      </w:r>
      <w:r w:rsidR="001046D1">
        <w:rPr>
          <w:rFonts w:cs="Arial"/>
        </w:rPr>
        <w:t>.</w:t>
      </w:r>
      <w:r w:rsidR="004F5A89">
        <w:rPr>
          <w:rFonts w:cs="Arial"/>
        </w:rPr>
        <w:t>)</w:t>
      </w:r>
      <w:r w:rsidR="001C6D3B">
        <w:rPr>
          <w:rFonts w:cs="Arial"/>
        </w:rPr>
        <w:t xml:space="preserve"> </w:t>
      </w:r>
    </w:p>
    <w:p w14:paraId="70510FF0" w14:textId="77777777" w:rsidR="000E5472" w:rsidRDefault="000E5472" w:rsidP="003A36B4">
      <w:pPr>
        <w:spacing w:after="0"/>
        <w:rPr>
          <w:rFonts w:cs="Arial"/>
        </w:rPr>
      </w:pPr>
    </w:p>
    <w:p w14:paraId="5A87F517" w14:textId="77777777" w:rsidR="001A059C" w:rsidRDefault="001A059C" w:rsidP="003A36B4">
      <w:pPr>
        <w:spacing w:after="0"/>
        <w:rPr>
          <w:rFonts w:cs="Arial"/>
        </w:rPr>
      </w:pPr>
    </w:p>
    <w:p w14:paraId="2CD24BB3" w14:textId="77777777" w:rsidR="001A059C" w:rsidRDefault="001A059C" w:rsidP="003A36B4">
      <w:pPr>
        <w:spacing w:after="0"/>
        <w:rPr>
          <w:rFonts w:cs="Arial"/>
        </w:rPr>
      </w:pPr>
    </w:p>
    <w:p w14:paraId="1AAECB6D" w14:textId="77777777" w:rsidR="001A059C" w:rsidRDefault="001A059C" w:rsidP="003A36B4">
      <w:pPr>
        <w:spacing w:after="0"/>
        <w:rPr>
          <w:rFonts w:cs="Arial"/>
        </w:rPr>
      </w:pPr>
    </w:p>
    <w:p w14:paraId="3EBECD52" w14:textId="77777777" w:rsidR="001A059C" w:rsidRDefault="001A059C" w:rsidP="003A36B4">
      <w:pPr>
        <w:spacing w:after="0"/>
        <w:rPr>
          <w:rFonts w:cs="Arial"/>
        </w:rPr>
      </w:pPr>
    </w:p>
    <w:p w14:paraId="38D78986" w14:textId="77777777" w:rsidR="001A059C" w:rsidRDefault="001A059C" w:rsidP="003A36B4">
      <w:pPr>
        <w:spacing w:after="0"/>
        <w:rPr>
          <w:rFonts w:cs="Arial"/>
        </w:rPr>
      </w:pPr>
    </w:p>
    <w:p w14:paraId="3FC39F23" w14:textId="77777777" w:rsidR="001A059C" w:rsidRDefault="001A059C" w:rsidP="003A36B4">
      <w:pPr>
        <w:spacing w:after="0"/>
        <w:rPr>
          <w:rFonts w:cs="Arial"/>
        </w:rPr>
      </w:pPr>
    </w:p>
    <w:p w14:paraId="4EBCEA2A" w14:textId="77777777" w:rsidR="001A059C" w:rsidRDefault="001A059C" w:rsidP="003A36B4">
      <w:pPr>
        <w:spacing w:after="0"/>
        <w:rPr>
          <w:rFonts w:cs="Arial"/>
        </w:rPr>
      </w:pPr>
    </w:p>
    <w:p w14:paraId="40702F0A" w14:textId="77777777" w:rsidR="001A059C" w:rsidRDefault="001A059C" w:rsidP="003A36B4">
      <w:pPr>
        <w:spacing w:after="0"/>
        <w:rPr>
          <w:rFonts w:cs="Arial"/>
        </w:rPr>
      </w:pPr>
    </w:p>
    <w:p w14:paraId="2AC96E0C" w14:textId="77777777" w:rsidR="001A059C" w:rsidRDefault="001A059C" w:rsidP="003A36B4">
      <w:pPr>
        <w:spacing w:after="0"/>
        <w:rPr>
          <w:rFonts w:cs="Arial"/>
        </w:rPr>
      </w:pPr>
    </w:p>
    <w:p w14:paraId="0C8F8CEB" w14:textId="77777777" w:rsidR="001A059C" w:rsidRDefault="001A059C" w:rsidP="003A36B4">
      <w:pPr>
        <w:spacing w:after="0"/>
        <w:rPr>
          <w:rFonts w:cs="Arial"/>
        </w:rPr>
      </w:pPr>
    </w:p>
    <w:p w14:paraId="7A1DBC94" w14:textId="77777777" w:rsidR="001A059C" w:rsidRDefault="001A059C" w:rsidP="003A36B4">
      <w:pPr>
        <w:spacing w:after="0"/>
        <w:rPr>
          <w:rFonts w:cs="Arial"/>
        </w:rPr>
      </w:pPr>
    </w:p>
    <w:p w14:paraId="61D87638" w14:textId="77777777" w:rsidR="001A059C" w:rsidRDefault="001A059C" w:rsidP="003A36B4">
      <w:pPr>
        <w:spacing w:after="0"/>
        <w:rPr>
          <w:rFonts w:cs="Arial"/>
        </w:rPr>
      </w:pPr>
    </w:p>
    <w:p w14:paraId="483C374E" w14:textId="77777777" w:rsidR="001A059C" w:rsidRDefault="001A059C" w:rsidP="003A36B4">
      <w:pPr>
        <w:spacing w:after="0"/>
        <w:rPr>
          <w:rFonts w:cs="Arial"/>
        </w:rPr>
      </w:pPr>
    </w:p>
    <w:p w14:paraId="492299EE" w14:textId="77777777" w:rsidR="001A059C" w:rsidRDefault="001A059C" w:rsidP="003A36B4">
      <w:pPr>
        <w:spacing w:after="0"/>
        <w:rPr>
          <w:rFonts w:cs="Arial"/>
        </w:rPr>
      </w:pPr>
    </w:p>
    <w:p w14:paraId="4F781D32" w14:textId="77777777" w:rsidR="001A059C" w:rsidRDefault="001A059C" w:rsidP="003A36B4">
      <w:pPr>
        <w:spacing w:after="0"/>
        <w:rPr>
          <w:rFonts w:cs="Arial"/>
        </w:rPr>
      </w:pPr>
    </w:p>
    <w:p w14:paraId="4E04E9EB" w14:textId="77777777" w:rsidR="001A059C" w:rsidRDefault="001A059C" w:rsidP="003A36B4">
      <w:pPr>
        <w:spacing w:after="0"/>
        <w:rPr>
          <w:rFonts w:cs="Arial"/>
        </w:rPr>
      </w:pPr>
    </w:p>
    <w:p w14:paraId="2D8EC5A6" w14:textId="77777777" w:rsidR="001A059C" w:rsidRPr="00882976" w:rsidRDefault="001A059C" w:rsidP="003A36B4">
      <w:pPr>
        <w:spacing w:after="0"/>
        <w:rPr>
          <w:rFonts w:cs="Arial"/>
        </w:rPr>
      </w:pPr>
    </w:p>
    <w:p w14:paraId="6A5B3559" w14:textId="3E4CE8F9" w:rsidR="00A32D45" w:rsidRPr="00882976" w:rsidRDefault="00A32D45" w:rsidP="003A36B4">
      <w:pPr>
        <w:spacing w:after="0"/>
        <w:rPr>
          <w:rFonts w:cs="Arial"/>
          <w:b/>
        </w:rPr>
      </w:pPr>
      <w:r w:rsidRPr="00882976">
        <w:rPr>
          <w:rFonts w:cs="Arial"/>
          <w:b/>
        </w:rPr>
        <w:t>2.</w:t>
      </w:r>
      <w:r w:rsidR="00B63BF2" w:rsidRPr="00882976">
        <w:rPr>
          <w:rFonts w:cs="Arial"/>
          <w:b/>
        </w:rPr>
        <w:t>2</w:t>
      </w:r>
      <w:r w:rsidRPr="00882976">
        <w:rPr>
          <w:rFonts w:cs="Arial"/>
          <w:b/>
        </w:rPr>
        <w:t xml:space="preserve"> Settlement Funding Assessment (SFA)</w:t>
      </w:r>
    </w:p>
    <w:p w14:paraId="5623B40E" w14:textId="77777777" w:rsidR="00FA1C1D" w:rsidRDefault="00FA1C1D" w:rsidP="003A36B4">
      <w:pPr>
        <w:spacing w:after="0"/>
        <w:rPr>
          <w:rFonts w:cs="Arial"/>
        </w:rPr>
      </w:pPr>
    </w:p>
    <w:p w14:paraId="481A986F" w14:textId="197CBB77" w:rsidR="00A32D45" w:rsidRPr="00882976" w:rsidRDefault="00A32D45" w:rsidP="003A36B4">
      <w:pPr>
        <w:spacing w:after="0"/>
        <w:rPr>
          <w:rFonts w:cs="Arial"/>
        </w:rPr>
      </w:pPr>
      <w:r w:rsidRPr="00882976">
        <w:rPr>
          <w:rFonts w:cs="Arial"/>
        </w:rPr>
        <w:t>The Secretary of State announces a Settlement Funding Assessment (SFA) for each authority. This is an indication of the level of resources required by an authority which is to be met from business rates and R</w:t>
      </w:r>
      <w:r w:rsidR="004C3633">
        <w:rPr>
          <w:rFonts w:cs="Arial"/>
        </w:rPr>
        <w:t xml:space="preserve">evenue </w:t>
      </w:r>
      <w:r w:rsidRPr="00882976">
        <w:rPr>
          <w:rFonts w:cs="Arial"/>
        </w:rPr>
        <w:t>S</w:t>
      </w:r>
      <w:r w:rsidR="004C3633">
        <w:rPr>
          <w:rFonts w:cs="Arial"/>
        </w:rPr>
        <w:t xml:space="preserve">upport </w:t>
      </w:r>
      <w:r w:rsidRPr="00882976">
        <w:rPr>
          <w:rFonts w:cs="Arial"/>
        </w:rPr>
        <w:t>G</w:t>
      </w:r>
      <w:r w:rsidR="004C3633">
        <w:rPr>
          <w:rFonts w:cs="Arial"/>
        </w:rPr>
        <w:t>rant (RSG)</w:t>
      </w:r>
      <w:r w:rsidRPr="00882976">
        <w:rPr>
          <w:rFonts w:cs="Arial"/>
        </w:rPr>
        <w:t xml:space="preserve">. </w:t>
      </w:r>
      <w:r w:rsidR="00B63BFC">
        <w:rPr>
          <w:rFonts w:cs="Arial"/>
        </w:rPr>
        <w:t>On 15</w:t>
      </w:r>
      <w:r w:rsidR="00B63BFC" w:rsidRPr="00B63BFC">
        <w:rPr>
          <w:rFonts w:cs="Arial"/>
          <w:vertAlign w:val="superscript"/>
        </w:rPr>
        <w:t>th</w:t>
      </w:r>
      <w:r w:rsidR="00B63BFC">
        <w:rPr>
          <w:rFonts w:cs="Arial"/>
        </w:rPr>
        <w:t xml:space="preserve"> December 2016</w:t>
      </w:r>
      <w:r w:rsidRPr="00882976">
        <w:rPr>
          <w:rFonts w:cs="Arial"/>
        </w:rPr>
        <w:t xml:space="preserve"> the Secretary of State announced d</w:t>
      </w:r>
      <w:r w:rsidR="005C03EB" w:rsidRPr="00882976">
        <w:rPr>
          <w:rFonts w:cs="Arial"/>
        </w:rPr>
        <w:t>etails of proposed support for the next 3</w:t>
      </w:r>
      <w:r w:rsidRPr="00882976">
        <w:rPr>
          <w:rFonts w:cs="Arial"/>
        </w:rPr>
        <w:t xml:space="preserve"> years, i.e. up to 2019/20 and the MTFS has been based on this Settlement.  These were:</w:t>
      </w:r>
    </w:p>
    <w:p w14:paraId="522BFDCA" w14:textId="77777777" w:rsidR="00A32D45" w:rsidRPr="00882976" w:rsidRDefault="00A32D45" w:rsidP="00A32D45">
      <w:pPr>
        <w:rPr>
          <w:rFonts w:cs="Arial"/>
        </w:rPr>
      </w:pPr>
    </w:p>
    <w:tbl>
      <w:tblPr>
        <w:tblStyle w:val="TableGrid"/>
        <w:tblW w:w="8729" w:type="dxa"/>
        <w:jc w:val="center"/>
        <w:tblLook w:val="04A0" w:firstRow="1" w:lastRow="0" w:firstColumn="1" w:lastColumn="0" w:noHBand="0" w:noVBand="1"/>
      </w:tblPr>
      <w:tblGrid>
        <w:gridCol w:w="3828"/>
        <w:gridCol w:w="1148"/>
        <w:gridCol w:w="1148"/>
        <w:gridCol w:w="1147"/>
        <w:gridCol w:w="1458"/>
      </w:tblGrid>
      <w:tr w:rsidR="00B63BFC" w:rsidRPr="00882976" w14:paraId="4B79F9DC" w14:textId="77777777" w:rsidTr="00B63BFC">
        <w:trPr>
          <w:trHeight w:val="744"/>
          <w:jc w:val="center"/>
        </w:trPr>
        <w:tc>
          <w:tcPr>
            <w:tcW w:w="3828" w:type="dxa"/>
            <w:tcBorders>
              <w:bottom w:val="nil"/>
            </w:tcBorders>
            <w:shd w:val="clear" w:color="auto" w:fill="BFBFBF" w:themeFill="background1" w:themeFillShade="BF"/>
            <w:vAlign w:val="center"/>
          </w:tcPr>
          <w:p w14:paraId="7CB40658" w14:textId="77777777" w:rsidR="00B63BFC" w:rsidRPr="00882976" w:rsidRDefault="00B63BFC" w:rsidP="00AC67F1">
            <w:pPr>
              <w:jc w:val="center"/>
              <w:rPr>
                <w:rFonts w:cs="Arial"/>
                <w:b/>
              </w:rPr>
            </w:pPr>
          </w:p>
          <w:p w14:paraId="2164679D" w14:textId="77777777" w:rsidR="00B63BFC" w:rsidRPr="00882976" w:rsidRDefault="00B63BFC" w:rsidP="00AC67F1">
            <w:pPr>
              <w:jc w:val="center"/>
              <w:rPr>
                <w:rFonts w:cs="Arial"/>
                <w:b/>
              </w:rPr>
            </w:pPr>
          </w:p>
        </w:tc>
        <w:tc>
          <w:tcPr>
            <w:tcW w:w="1148" w:type="dxa"/>
            <w:tcBorders>
              <w:bottom w:val="nil"/>
            </w:tcBorders>
            <w:shd w:val="clear" w:color="auto" w:fill="BFBFBF" w:themeFill="background1" w:themeFillShade="BF"/>
          </w:tcPr>
          <w:p w14:paraId="4EBE5445" w14:textId="77777777" w:rsidR="00B63BFC" w:rsidRDefault="00B63BFC" w:rsidP="00AC67F1">
            <w:pPr>
              <w:jc w:val="center"/>
              <w:rPr>
                <w:rFonts w:cs="Arial"/>
                <w:b/>
              </w:rPr>
            </w:pPr>
            <w:r>
              <w:rPr>
                <w:rFonts w:cs="Arial"/>
                <w:b/>
              </w:rPr>
              <w:t>2016/17</w:t>
            </w:r>
          </w:p>
          <w:p w14:paraId="04A0AA7B" w14:textId="696080BB" w:rsidR="00B63BFC" w:rsidRPr="00882976" w:rsidRDefault="00B63BFC" w:rsidP="00AC67F1">
            <w:pPr>
              <w:jc w:val="center"/>
              <w:rPr>
                <w:rFonts w:cs="Arial"/>
                <w:b/>
              </w:rPr>
            </w:pPr>
            <w:r>
              <w:rPr>
                <w:rFonts w:cs="Arial"/>
                <w:b/>
              </w:rPr>
              <w:t>£m</w:t>
            </w:r>
          </w:p>
        </w:tc>
        <w:tc>
          <w:tcPr>
            <w:tcW w:w="1148" w:type="dxa"/>
            <w:tcBorders>
              <w:bottom w:val="nil"/>
            </w:tcBorders>
            <w:shd w:val="clear" w:color="auto" w:fill="BFBFBF" w:themeFill="background1" w:themeFillShade="BF"/>
            <w:vAlign w:val="center"/>
          </w:tcPr>
          <w:p w14:paraId="22CF55E7" w14:textId="5C92BE70" w:rsidR="00B63BFC" w:rsidRPr="00882976" w:rsidRDefault="00B63BFC" w:rsidP="00AC67F1">
            <w:pPr>
              <w:jc w:val="center"/>
              <w:rPr>
                <w:rFonts w:cs="Arial"/>
                <w:b/>
              </w:rPr>
            </w:pPr>
            <w:r w:rsidRPr="00882976">
              <w:rPr>
                <w:rFonts w:cs="Arial"/>
                <w:b/>
              </w:rPr>
              <w:t>2017/18</w:t>
            </w:r>
          </w:p>
          <w:p w14:paraId="071F3552" w14:textId="77777777" w:rsidR="00B63BFC" w:rsidRPr="00882976" w:rsidRDefault="00B63BFC" w:rsidP="00AC67F1">
            <w:pPr>
              <w:jc w:val="center"/>
              <w:rPr>
                <w:rFonts w:cs="Arial"/>
                <w:b/>
              </w:rPr>
            </w:pPr>
            <w:r w:rsidRPr="00882976">
              <w:rPr>
                <w:rFonts w:cs="Arial"/>
                <w:b/>
              </w:rPr>
              <w:t>£m</w:t>
            </w:r>
          </w:p>
        </w:tc>
        <w:tc>
          <w:tcPr>
            <w:tcW w:w="1147" w:type="dxa"/>
            <w:tcBorders>
              <w:bottom w:val="nil"/>
            </w:tcBorders>
            <w:shd w:val="clear" w:color="auto" w:fill="BFBFBF" w:themeFill="background1" w:themeFillShade="BF"/>
            <w:vAlign w:val="center"/>
          </w:tcPr>
          <w:p w14:paraId="534D3952" w14:textId="77777777" w:rsidR="00B63BFC" w:rsidRPr="00882976" w:rsidRDefault="00B63BFC" w:rsidP="00AC67F1">
            <w:pPr>
              <w:jc w:val="center"/>
              <w:rPr>
                <w:rFonts w:cs="Arial"/>
                <w:b/>
              </w:rPr>
            </w:pPr>
            <w:r w:rsidRPr="00882976">
              <w:rPr>
                <w:rFonts w:cs="Arial"/>
                <w:b/>
              </w:rPr>
              <w:t>2018/19</w:t>
            </w:r>
          </w:p>
          <w:p w14:paraId="549CD0E9" w14:textId="77777777" w:rsidR="00B63BFC" w:rsidRPr="00882976" w:rsidRDefault="00B63BFC" w:rsidP="00AC67F1">
            <w:pPr>
              <w:jc w:val="center"/>
              <w:rPr>
                <w:rFonts w:cs="Arial"/>
                <w:b/>
              </w:rPr>
            </w:pPr>
            <w:r w:rsidRPr="00882976">
              <w:rPr>
                <w:rFonts w:cs="Arial"/>
                <w:b/>
              </w:rPr>
              <w:t>£m</w:t>
            </w:r>
          </w:p>
        </w:tc>
        <w:tc>
          <w:tcPr>
            <w:tcW w:w="1458" w:type="dxa"/>
            <w:tcBorders>
              <w:bottom w:val="nil"/>
            </w:tcBorders>
            <w:shd w:val="clear" w:color="auto" w:fill="BFBFBF" w:themeFill="background1" w:themeFillShade="BF"/>
            <w:vAlign w:val="center"/>
          </w:tcPr>
          <w:p w14:paraId="1F07577C" w14:textId="77777777" w:rsidR="00B63BFC" w:rsidRPr="00882976" w:rsidRDefault="00B63BFC" w:rsidP="00AC67F1">
            <w:pPr>
              <w:jc w:val="center"/>
              <w:rPr>
                <w:rFonts w:cs="Arial"/>
                <w:b/>
              </w:rPr>
            </w:pPr>
            <w:r w:rsidRPr="00882976">
              <w:rPr>
                <w:rFonts w:cs="Arial"/>
                <w:b/>
              </w:rPr>
              <w:t>2019/20</w:t>
            </w:r>
          </w:p>
          <w:p w14:paraId="77B3E58B" w14:textId="77777777" w:rsidR="00B63BFC" w:rsidRPr="00882976" w:rsidRDefault="00B63BFC" w:rsidP="00AC67F1">
            <w:pPr>
              <w:jc w:val="center"/>
              <w:rPr>
                <w:rFonts w:cs="Arial"/>
                <w:b/>
              </w:rPr>
            </w:pPr>
            <w:r w:rsidRPr="00882976">
              <w:rPr>
                <w:rFonts w:cs="Arial"/>
                <w:b/>
              </w:rPr>
              <w:t>£m</w:t>
            </w:r>
          </w:p>
        </w:tc>
      </w:tr>
      <w:tr w:rsidR="00B63BFC" w:rsidRPr="00882976" w14:paraId="1AF5B13B" w14:textId="77777777" w:rsidTr="00B63BFC">
        <w:trPr>
          <w:trHeight w:val="779"/>
          <w:jc w:val="center"/>
        </w:trPr>
        <w:tc>
          <w:tcPr>
            <w:tcW w:w="3828" w:type="dxa"/>
          </w:tcPr>
          <w:p w14:paraId="21734A36" w14:textId="76B3C383" w:rsidR="00B63BFC" w:rsidRPr="00882976" w:rsidRDefault="00B63BFC" w:rsidP="001E485A">
            <w:pPr>
              <w:jc w:val="left"/>
              <w:rPr>
                <w:rFonts w:cs="Arial"/>
              </w:rPr>
            </w:pPr>
            <w:r w:rsidRPr="00882976">
              <w:rPr>
                <w:rFonts w:cs="Arial"/>
              </w:rPr>
              <w:t>Settlement Funding Assessment (SFA)</w:t>
            </w:r>
          </w:p>
        </w:tc>
        <w:tc>
          <w:tcPr>
            <w:tcW w:w="1148" w:type="dxa"/>
            <w:vAlign w:val="center"/>
          </w:tcPr>
          <w:p w14:paraId="27444B07" w14:textId="363787C9" w:rsidR="00B63BFC" w:rsidRPr="00882976" w:rsidRDefault="00B63BFC" w:rsidP="00B63BFC">
            <w:pPr>
              <w:jc w:val="center"/>
              <w:rPr>
                <w:rFonts w:cs="Arial"/>
              </w:rPr>
            </w:pPr>
            <w:r>
              <w:rPr>
                <w:rFonts w:cs="Arial"/>
              </w:rPr>
              <w:t>292.249</w:t>
            </w:r>
          </w:p>
        </w:tc>
        <w:tc>
          <w:tcPr>
            <w:tcW w:w="1148" w:type="dxa"/>
            <w:vAlign w:val="center"/>
          </w:tcPr>
          <w:p w14:paraId="1FB919F4" w14:textId="22B8D15B" w:rsidR="00B63BFC" w:rsidRPr="00882976" w:rsidRDefault="00B63BFC" w:rsidP="00B63BFC">
            <w:pPr>
              <w:jc w:val="right"/>
              <w:rPr>
                <w:rFonts w:cs="Arial"/>
              </w:rPr>
            </w:pPr>
            <w:r w:rsidRPr="00882976">
              <w:rPr>
                <w:rFonts w:cs="Arial"/>
              </w:rPr>
              <w:t>258.</w:t>
            </w:r>
            <w:r>
              <w:rPr>
                <w:rFonts w:cs="Arial"/>
              </w:rPr>
              <w:t>456</w:t>
            </w:r>
          </w:p>
        </w:tc>
        <w:tc>
          <w:tcPr>
            <w:tcW w:w="1147" w:type="dxa"/>
            <w:vAlign w:val="center"/>
          </w:tcPr>
          <w:p w14:paraId="1B255EBD" w14:textId="1E683C51" w:rsidR="00B63BFC" w:rsidRPr="00882976" w:rsidRDefault="00B63BFC" w:rsidP="00AC67F1">
            <w:pPr>
              <w:jc w:val="right"/>
              <w:rPr>
                <w:rFonts w:cs="Arial"/>
              </w:rPr>
            </w:pPr>
            <w:r>
              <w:rPr>
                <w:rFonts w:cs="Arial"/>
              </w:rPr>
              <w:t>239.621</w:t>
            </w:r>
          </w:p>
        </w:tc>
        <w:tc>
          <w:tcPr>
            <w:tcW w:w="1458" w:type="dxa"/>
            <w:vAlign w:val="center"/>
          </w:tcPr>
          <w:p w14:paraId="03B03BE0" w14:textId="5A6404FD" w:rsidR="00B63BFC" w:rsidRPr="00882976" w:rsidRDefault="00B63BFC" w:rsidP="00AC67F1">
            <w:pPr>
              <w:jc w:val="right"/>
              <w:rPr>
                <w:rFonts w:cs="Arial"/>
              </w:rPr>
            </w:pPr>
            <w:r>
              <w:rPr>
                <w:rFonts w:cs="Arial"/>
              </w:rPr>
              <w:t>222.032</w:t>
            </w:r>
          </w:p>
        </w:tc>
      </w:tr>
      <w:tr w:rsidR="00B63BFC" w:rsidRPr="00882976" w14:paraId="445E7334" w14:textId="77777777" w:rsidTr="00B63BFC">
        <w:trPr>
          <w:trHeight w:val="547"/>
          <w:jc w:val="center"/>
        </w:trPr>
        <w:tc>
          <w:tcPr>
            <w:tcW w:w="3828" w:type="dxa"/>
            <w:shd w:val="clear" w:color="auto" w:fill="BFBFBF" w:themeFill="background1" w:themeFillShade="BF"/>
            <w:vAlign w:val="center"/>
          </w:tcPr>
          <w:p w14:paraId="5E9CE864" w14:textId="77777777" w:rsidR="00B63BFC" w:rsidRPr="00882976" w:rsidRDefault="00B63BFC" w:rsidP="00AC67F1">
            <w:pPr>
              <w:rPr>
                <w:rFonts w:cs="Arial"/>
                <w:b/>
              </w:rPr>
            </w:pPr>
            <w:r w:rsidRPr="00882976">
              <w:rPr>
                <w:rFonts w:cs="Arial"/>
                <w:b/>
              </w:rPr>
              <w:t>Funded by:</w:t>
            </w:r>
          </w:p>
        </w:tc>
        <w:tc>
          <w:tcPr>
            <w:tcW w:w="1148" w:type="dxa"/>
            <w:shd w:val="clear" w:color="auto" w:fill="BFBFBF" w:themeFill="background1" w:themeFillShade="BF"/>
          </w:tcPr>
          <w:p w14:paraId="34021582" w14:textId="77777777" w:rsidR="00B63BFC" w:rsidRPr="00882976" w:rsidRDefault="00B63BFC" w:rsidP="00AC67F1">
            <w:pPr>
              <w:jc w:val="right"/>
              <w:rPr>
                <w:rFonts w:cs="Arial"/>
              </w:rPr>
            </w:pPr>
          </w:p>
        </w:tc>
        <w:tc>
          <w:tcPr>
            <w:tcW w:w="1148" w:type="dxa"/>
            <w:shd w:val="clear" w:color="auto" w:fill="BFBFBF" w:themeFill="background1" w:themeFillShade="BF"/>
            <w:vAlign w:val="center"/>
          </w:tcPr>
          <w:p w14:paraId="52BB17C3" w14:textId="01FF2383" w:rsidR="00B63BFC" w:rsidRPr="00882976" w:rsidRDefault="00B63BFC" w:rsidP="00AC67F1">
            <w:pPr>
              <w:jc w:val="right"/>
              <w:rPr>
                <w:rFonts w:cs="Arial"/>
              </w:rPr>
            </w:pPr>
          </w:p>
        </w:tc>
        <w:tc>
          <w:tcPr>
            <w:tcW w:w="1147" w:type="dxa"/>
            <w:shd w:val="clear" w:color="auto" w:fill="BFBFBF" w:themeFill="background1" w:themeFillShade="BF"/>
            <w:vAlign w:val="center"/>
          </w:tcPr>
          <w:p w14:paraId="6E8B67C2" w14:textId="77777777" w:rsidR="00B63BFC" w:rsidRPr="00882976" w:rsidRDefault="00B63BFC" w:rsidP="00AC67F1">
            <w:pPr>
              <w:jc w:val="right"/>
              <w:rPr>
                <w:rFonts w:cs="Arial"/>
              </w:rPr>
            </w:pPr>
          </w:p>
        </w:tc>
        <w:tc>
          <w:tcPr>
            <w:tcW w:w="1458" w:type="dxa"/>
            <w:shd w:val="clear" w:color="auto" w:fill="BFBFBF" w:themeFill="background1" w:themeFillShade="BF"/>
            <w:vAlign w:val="center"/>
          </w:tcPr>
          <w:p w14:paraId="75186819" w14:textId="77777777" w:rsidR="00B63BFC" w:rsidRPr="00882976" w:rsidRDefault="00B63BFC" w:rsidP="00AC67F1">
            <w:pPr>
              <w:jc w:val="right"/>
              <w:rPr>
                <w:rFonts w:cs="Arial"/>
              </w:rPr>
            </w:pPr>
          </w:p>
        </w:tc>
      </w:tr>
      <w:tr w:rsidR="00B63BFC" w:rsidRPr="00882976" w14:paraId="1132081D" w14:textId="77777777" w:rsidTr="00B63BFC">
        <w:trPr>
          <w:trHeight w:val="643"/>
          <w:jc w:val="center"/>
        </w:trPr>
        <w:tc>
          <w:tcPr>
            <w:tcW w:w="3828" w:type="dxa"/>
            <w:vAlign w:val="center"/>
          </w:tcPr>
          <w:p w14:paraId="76766FEC" w14:textId="77777777" w:rsidR="00B63BFC" w:rsidRPr="00882976" w:rsidRDefault="00B63BFC" w:rsidP="00AC67F1">
            <w:pPr>
              <w:rPr>
                <w:rFonts w:cs="Arial"/>
              </w:rPr>
            </w:pPr>
            <w:r w:rsidRPr="00882976">
              <w:rPr>
                <w:rFonts w:cs="Arial"/>
              </w:rPr>
              <w:t>Revenue Support Grant</w:t>
            </w:r>
          </w:p>
        </w:tc>
        <w:tc>
          <w:tcPr>
            <w:tcW w:w="1148" w:type="dxa"/>
          </w:tcPr>
          <w:p w14:paraId="4AAFC873" w14:textId="77777777" w:rsidR="00B63BFC" w:rsidRPr="00882976" w:rsidRDefault="00B63BFC" w:rsidP="00AC67F1">
            <w:pPr>
              <w:jc w:val="right"/>
              <w:rPr>
                <w:rFonts w:cs="Arial"/>
              </w:rPr>
            </w:pPr>
          </w:p>
        </w:tc>
        <w:tc>
          <w:tcPr>
            <w:tcW w:w="1148" w:type="dxa"/>
            <w:vAlign w:val="center"/>
          </w:tcPr>
          <w:p w14:paraId="6D445BB9" w14:textId="4EFFE98E" w:rsidR="00B63BFC" w:rsidRPr="00882976" w:rsidRDefault="00B63BFC" w:rsidP="00AC67F1">
            <w:pPr>
              <w:jc w:val="right"/>
              <w:rPr>
                <w:rFonts w:cs="Arial"/>
              </w:rPr>
            </w:pPr>
            <w:r w:rsidRPr="00882976">
              <w:rPr>
                <w:rFonts w:cs="Arial"/>
              </w:rPr>
              <w:t>81.508</w:t>
            </w:r>
          </w:p>
        </w:tc>
        <w:tc>
          <w:tcPr>
            <w:tcW w:w="1147" w:type="dxa"/>
            <w:vAlign w:val="center"/>
          </w:tcPr>
          <w:p w14:paraId="727FB959" w14:textId="77777777" w:rsidR="00B63BFC" w:rsidRPr="00882976" w:rsidRDefault="00B63BFC" w:rsidP="00AC67F1">
            <w:pPr>
              <w:jc w:val="right"/>
              <w:rPr>
                <w:rFonts w:cs="Arial"/>
              </w:rPr>
            </w:pPr>
            <w:r w:rsidRPr="00882976">
              <w:rPr>
                <w:rFonts w:cs="Arial"/>
              </w:rPr>
              <w:t>56.979</w:t>
            </w:r>
          </w:p>
        </w:tc>
        <w:tc>
          <w:tcPr>
            <w:tcW w:w="1458" w:type="dxa"/>
            <w:vAlign w:val="center"/>
          </w:tcPr>
          <w:p w14:paraId="28F66FF6" w14:textId="77777777" w:rsidR="00B63BFC" w:rsidRPr="00882976" w:rsidRDefault="00B63BFC" w:rsidP="00AC67F1">
            <w:pPr>
              <w:jc w:val="right"/>
              <w:rPr>
                <w:rFonts w:cs="Arial"/>
              </w:rPr>
            </w:pPr>
            <w:r w:rsidRPr="00882976">
              <w:rPr>
                <w:rFonts w:cs="Arial"/>
              </w:rPr>
              <w:t>32.894</w:t>
            </w:r>
          </w:p>
        </w:tc>
      </w:tr>
      <w:tr w:rsidR="00B63BFC" w:rsidRPr="00882976" w14:paraId="15451340" w14:textId="77777777" w:rsidTr="00B63BFC">
        <w:trPr>
          <w:trHeight w:val="682"/>
          <w:jc w:val="center"/>
        </w:trPr>
        <w:tc>
          <w:tcPr>
            <w:tcW w:w="3828" w:type="dxa"/>
            <w:vAlign w:val="center"/>
          </w:tcPr>
          <w:p w14:paraId="476DE88C" w14:textId="77777777" w:rsidR="00B63BFC" w:rsidRPr="00882976" w:rsidRDefault="00B63BFC" w:rsidP="00AC67F1">
            <w:pPr>
              <w:rPr>
                <w:rFonts w:cs="Arial"/>
              </w:rPr>
            </w:pPr>
            <w:r w:rsidRPr="00882976">
              <w:rPr>
                <w:rFonts w:cs="Arial"/>
              </w:rPr>
              <w:t>Business Rate Baseline</w:t>
            </w:r>
          </w:p>
        </w:tc>
        <w:tc>
          <w:tcPr>
            <w:tcW w:w="1148" w:type="dxa"/>
          </w:tcPr>
          <w:p w14:paraId="0D15FC82" w14:textId="77777777" w:rsidR="00B63BFC" w:rsidRPr="00882976" w:rsidRDefault="00B63BFC" w:rsidP="00B63BFC">
            <w:pPr>
              <w:jc w:val="right"/>
              <w:rPr>
                <w:rFonts w:cs="Arial"/>
              </w:rPr>
            </w:pPr>
          </w:p>
        </w:tc>
        <w:tc>
          <w:tcPr>
            <w:tcW w:w="1148" w:type="dxa"/>
            <w:vAlign w:val="center"/>
          </w:tcPr>
          <w:p w14:paraId="4D7710F5" w14:textId="54A9B1C7" w:rsidR="00B63BFC" w:rsidRPr="00882976" w:rsidRDefault="00B63BFC" w:rsidP="00B63BFC">
            <w:pPr>
              <w:jc w:val="right"/>
              <w:rPr>
                <w:rFonts w:cs="Arial"/>
              </w:rPr>
            </w:pPr>
            <w:r w:rsidRPr="00882976">
              <w:rPr>
                <w:rFonts w:cs="Arial"/>
              </w:rPr>
              <w:t>176.</w:t>
            </w:r>
            <w:r>
              <w:rPr>
                <w:rFonts w:cs="Arial"/>
              </w:rPr>
              <w:t>948</w:t>
            </w:r>
          </w:p>
        </w:tc>
        <w:tc>
          <w:tcPr>
            <w:tcW w:w="1147" w:type="dxa"/>
            <w:vAlign w:val="center"/>
          </w:tcPr>
          <w:p w14:paraId="6BD268A2" w14:textId="27F25826" w:rsidR="00B63BFC" w:rsidRPr="00882976" w:rsidRDefault="002F1D16" w:rsidP="00AC67F1">
            <w:pPr>
              <w:jc w:val="right"/>
              <w:rPr>
                <w:rFonts w:cs="Arial"/>
              </w:rPr>
            </w:pPr>
            <w:r>
              <w:rPr>
                <w:rFonts w:cs="Arial"/>
              </w:rPr>
              <w:t>182</w:t>
            </w:r>
            <w:r w:rsidR="00B63BFC">
              <w:rPr>
                <w:rFonts w:cs="Arial"/>
              </w:rPr>
              <w:t>.642</w:t>
            </w:r>
          </w:p>
        </w:tc>
        <w:tc>
          <w:tcPr>
            <w:tcW w:w="1458" w:type="dxa"/>
            <w:vAlign w:val="center"/>
          </w:tcPr>
          <w:p w14:paraId="020502B2" w14:textId="6E0FC65C" w:rsidR="00B63BFC" w:rsidRPr="00882976" w:rsidRDefault="00B63BFC" w:rsidP="00AC67F1">
            <w:pPr>
              <w:jc w:val="right"/>
              <w:rPr>
                <w:rFonts w:cs="Arial"/>
              </w:rPr>
            </w:pPr>
            <w:r>
              <w:rPr>
                <w:rFonts w:cs="Arial"/>
              </w:rPr>
              <w:t>189.138</w:t>
            </w:r>
          </w:p>
        </w:tc>
      </w:tr>
      <w:tr w:rsidR="00B63BFC" w:rsidRPr="00882976" w14:paraId="60F10DD5" w14:textId="77777777" w:rsidTr="00B63BFC">
        <w:trPr>
          <w:trHeight w:val="602"/>
          <w:jc w:val="center"/>
        </w:trPr>
        <w:tc>
          <w:tcPr>
            <w:tcW w:w="3828" w:type="dxa"/>
            <w:shd w:val="clear" w:color="auto" w:fill="BFBFBF" w:themeFill="background1" w:themeFillShade="BF"/>
            <w:vAlign w:val="center"/>
          </w:tcPr>
          <w:p w14:paraId="160034A7" w14:textId="7469FA85" w:rsidR="00B63BFC" w:rsidRPr="00882976" w:rsidRDefault="00B63BFC" w:rsidP="00AC67F1">
            <w:pPr>
              <w:rPr>
                <w:rFonts w:cs="Arial"/>
                <w:b/>
              </w:rPr>
            </w:pPr>
            <w:r w:rsidRPr="00882976">
              <w:rPr>
                <w:rFonts w:cs="Arial"/>
                <w:b/>
              </w:rPr>
              <w:t>Total</w:t>
            </w:r>
          </w:p>
        </w:tc>
        <w:tc>
          <w:tcPr>
            <w:tcW w:w="1148" w:type="dxa"/>
            <w:shd w:val="clear" w:color="auto" w:fill="BFBFBF" w:themeFill="background1" w:themeFillShade="BF"/>
          </w:tcPr>
          <w:p w14:paraId="41C1DFA6" w14:textId="77777777" w:rsidR="00B63BFC" w:rsidRDefault="00B63BFC" w:rsidP="00AC67F1">
            <w:pPr>
              <w:jc w:val="right"/>
              <w:rPr>
                <w:rFonts w:cs="Arial"/>
                <w:b/>
              </w:rPr>
            </w:pPr>
          </w:p>
        </w:tc>
        <w:tc>
          <w:tcPr>
            <w:tcW w:w="1148" w:type="dxa"/>
            <w:shd w:val="clear" w:color="auto" w:fill="BFBFBF" w:themeFill="background1" w:themeFillShade="BF"/>
            <w:vAlign w:val="center"/>
          </w:tcPr>
          <w:p w14:paraId="4CA483F2" w14:textId="1F84B935" w:rsidR="00B63BFC" w:rsidRPr="00882976" w:rsidRDefault="00B63BFC" w:rsidP="00AC67F1">
            <w:pPr>
              <w:jc w:val="right"/>
              <w:rPr>
                <w:rFonts w:cs="Arial"/>
                <w:b/>
              </w:rPr>
            </w:pPr>
            <w:r>
              <w:rPr>
                <w:rFonts w:cs="Arial"/>
                <w:b/>
              </w:rPr>
              <w:t>258.456</w:t>
            </w:r>
          </w:p>
        </w:tc>
        <w:tc>
          <w:tcPr>
            <w:tcW w:w="1147" w:type="dxa"/>
            <w:shd w:val="clear" w:color="auto" w:fill="BFBFBF" w:themeFill="background1" w:themeFillShade="BF"/>
            <w:vAlign w:val="center"/>
          </w:tcPr>
          <w:p w14:paraId="5E66B893" w14:textId="7C01A9BE" w:rsidR="00B63BFC" w:rsidRPr="00882976" w:rsidRDefault="00B63BFC" w:rsidP="00AC67F1">
            <w:pPr>
              <w:jc w:val="right"/>
              <w:rPr>
                <w:rFonts w:cs="Arial"/>
                <w:b/>
              </w:rPr>
            </w:pPr>
            <w:r>
              <w:rPr>
                <w:rFonts w:cs="Arial"/>
                <w:b/>
              </w:rPr>
              <w:t>239.621</w:t>
            </w:r>
          </w:p>
        </w:tc>
        <w:tc>
          <w:tcPr>
            <w:tcW w:w="1458" w:type="dxa"/>
            <w:shd w:val="clear" w:color="auto" w:fill="BFBFBF" w:themeFill="background1" w:themeFillShade="BF"/>
            <w:vAlign w:val="center"/>
          </w:tcPr>
          <w:p w14:paraId="25C3BB31" w14:textId="4DF8B6C9" w:rsidR="00B63BFC" w:rsidRPr="00882976" w:rsidRDefault="00B63BFC" w:rsidP="00AC67F1">
            <w:pPr>
              <w:jc w:val="right"/>
              <w:rPr>
                <w:rFonts w:cs="Arial"/>
                <w:b/>
              </w:rPr>
            </w:pPr>
            <w:r>
              <w:rPr>
                <w:rFonts w:cs="Arial"/>
                <w:b/>
              </w:rPr>
              <w:t>222.032</w:t>
            </w:r>
          </w:p>
        </w:tc>
      </w:tr>
      <w:tr w:rsidR="00B63BFC" w:rsidRPr="00882976" w14:paraId="05C0117F" w14:textId="77777777" w:rsidTr="00B63BFC">
        <w:trPr>
          <w:trHeight w:val="680"/>
          <w:jc w:val="center"/>
        </w:trPr>
        <w:tc>
          <w:tcPr>
            <w:tcW w:w="3828" w:type="dxa"/>
            <w:shd w:val="clear" w:color="auto" w:fill="auto"/>
            <w:vAlign w:val="center"/>
          </w:tcPr>
          <w:p w14:paraId="1AAC85B7" w14:textId="153D769D" w:rsidR="00B63BFC" w:rsidRPr="00882976" w:rsidRDefault="00B63BFC" w:rsidP="00AC67F1">
            <w:pPr>
              <w:rPr>
                <w:rFonts w:cs="Arial"/>
              </w:rPr>
            </w:pPr>
            <w:r w:rsidRPr="00882976">
              <w:rPr>
                <w:rFonts w:cs="Arial"/>
              </w:rPr>
              <w:t>Reduction in SFA</w:t>
            </w:r>
          </w:p>
        </w:tc>
        <w:tc>
          <w:tcPr>
            <w:tcW w:w="1148" w:type="dxa"/>
          </w:tcPr>
          <w:p w14:paraId="36073D10" w14:textId="77777777" w:rsidR="00B63BFC" w:rsidRPr="00882976" w:rsidRDefault="00B63BFC" w:rsidP="00B63BFC">
            <w:pPr>
              <w:jc w:val="right"/>
              <w:rPr>
                <w:rFonts w:cs="Arial"/>
              </w:rPr>
            </w:pPr>
          </w:p>
        </w:tc>
        <w:tc>
          <w:tcPr>
            <w:tcW w:w="1148" w:type="dxa"/>
            <w:shd w:val="clear" w:color="auto" w:fill="auto"/>
            <w:vAlign w:val="center"/>
          </w:tcPr>
          <w:p w14:paraId="77BC5BE8" w14:textId="45ADC263" w:rsidR="00B63BFC" w:rsidRPr="00882976" w:rsidRDefault="00B63BFC" w:rsidP="00B63BFC">
            <w:pPr>
              <w:jc w:val="right"/>
              <w:rPr>
                <w:rFonts w:cs="Arial"/>
              </w:rPr>
            </w:pPr>
            <w:r w:rsidRPr="00882976">
              <w:rPr>
                <w:rFonts w:cs="Arial"/>
              </w:rPr>
              <w:t>-33.</w:t>
            </w:r>
            <w:r>
              <w:rPr>
                <w:rFonts w:cs="Arial"/>
              </w:rPr>
              <w:t>793</w:t>
            </w:r>
          </w:p>
        </w:tc>
        <w:tc>
          <w:tcPr>
            <w:tcW w:w="1147" w:type="dxa"/>
            <w:shd w:val="clear" w:color="auto" w:fill="auto"/>
            <w:vAlign w:val="center"/>
          </w:tcPr>
          <w:p w14:paraId="101EC6F9" w14:textId="417616BF" w:rsidR="00B63BFC" w:rsidRPr="00882976" w:rsidRDefault="00B63BFC" w:rsidP="00B63BFC">
            <w:pPr>
              <w:jc w:val="right"/>
              <w:rPr>
                <w:rFonts w:cs="Arial"/>
              </w:rPr>
            </w:pPr>
            <w:r w:rsidRPr="00882976">
              <w:rPr>
                <w:rFonts w:cs="Arial"/>
              </w:rPr>
              <w:t>-</w:t>
            </w:r>
            <w:r>
              <w:rPr>
                <w:rFonts w:cs="Arial"/>
              </w:rPr>
              <w:t>18.835</w:t>
            </w:r>
          </w:p>
        </w:tc>
        <w:tc>
          <w:tcPr>
            <w:tcW w:w="1458" w:type="dxa"/>
            <w:shd w:val="clear" w:color="auto" w:fill="auto"/>
            <w:vAlign w:val="center"/>
          </w:tcPr>
          <w:p w14:paraId="07C40352" w14:textId="5C842E39" w:rsidR="00B63BFC" w:rsidRPr="00882976" w:rsidRDefault="00B63BFC" w:rsidP="00B63BFC">
            <w:pPr>
              <w:jc w:val="right"/>
              <w:rPr>
                <w:rFonts w:cs="Arial"/>
              </w:rPr>
            </w:pPr>
            <w:r w:rsidRPr="00882976">
              <w:rPr>
                <w:rFonts w:cs="Arial"/>
              </w:rPr>
              <w:t>-1</w:t>
            </w:r>
            <w:r>
              <w:rPr>
                <w:rFonts w:cs="Arial"/>
              </w:rPr>
              <w:t>7.589</w:t>
            </w:r>
          </w:p>
        </w:tc>
      </w:tr>
    </w:tbl>
    <w:p w14:paraId="346BEB29" w14:textId="77777777" w:rsidR="00A32D45" w:rsidRPr="00882976" w:rsidRDefault="00A32D45" w:rsidP="00A32D45">
      <w:pPr>
        <w:rPr>
          <w:rFonts w:cs="Arial"/>
        </w:rPr>
      </w:pPr>
    </w:p>
    <w:p w14:paraId="2B300868" w14:textId="77777777" w:rsidR="004F5A89" w:rsidRDefault="003F76DE" w:rsidP="00B63BFC">
      <w:pPr>
        <w:spacing w:after="0"/>
        <w:rPr>
          <w:rFonts w:cs="Arial"/>
        </w:rPr>
      </w:pPr>
      <w:r w:rsidRPr="00882976">
        <w:rPr>
          <w:rFonts w:cs="Arial"/>
        </w:rPr>
        <w:t>T</w:t>
      </w:r>
      <w:r w:rsidR="00B63BFC">
        <w:rPr>
          <w:rFonts w:cs="Arial"/>
        </w:rPr>
        <w:t>he Settlement for 2017/18 to 202</w:t>
      </w:r>
      <w:r w:rsidR="00E007F5" w:rsidRPr="00882976">
        <w:rPr>
          <w:rFonts w:cs="Arial"/>
        </w:rPr>
        <w:t>0</w:t>
      </w:r>
      <w:r w:rsidRPr="00882976">
        <w:rPr>
          <w:rFonts w:cs="Arial"/>
        </w:rPr>
        <w:t>/2</w:t>
      </w:r>
      <w:r w:rsidR="00E007F5" w:rsidRPr="00882976">
        <w:rPr>
          <w:rFonts w:cs="Arial"/>
        </w:rPr>
        <w:t>1</w:t>
      </w:r>
      <w:r w:rsidRPr="00882976">
        <w:rPr>
          <w:rFonts w:cs="Arial"/>
        </w:rPr>
        <w:t xml:space="preserve"> </w:t>
      </w:r>
      <w:r w:rsidR="00B63BFC">
        <w:rPr>
          <w:rFonts w:cs="Arial"/>
        </w:rPr>
        <w:t>is</w:t>
      </w:r>
      <w:r w:rsidRPr="00882976">
        <w:rPr>
          <w:rFonts w:cs="Arial"/>
        </w:rPr>
        <w:t xml:space="preserve"> </w:t>
      </w:r>
      <w:r w:rsidR="0018627E">
        <w:rPr>
          <w:rFonts w:cs="Arial"/>
        </w:rPr>
        <w:t>provisional</w:t>
      </w:r>
      <w:r w:rsidR="00B63BFC">
        <w:rPr>
          <w:rFonts w:cs="Arial"/>
        </w:rPr>
        <w:t xml:space="preserve">, however </w:t>
      </w:r>
      <w:r w:rsidRPr="00882976">
        <w:rPr>
          <w:rFonts w:cs="Arial"/>
        </w:rPr>
        <w:t xml:space="preserve">the Secretary of State offered local authorities the opportunity to apply for a four year finance settlement covering the Revenue Support Grant, Rural Services Delivery Grant and Transitional Grant. </w:t>
      </w:r>
    </w:p>
    <w:p w14:paraId="6B83498B" w14:textId="40E1C5F9" w:rsidR="00E01CDC" w:rsidRDefault="004F5A89" w:rsidP="00B63BFC">
      <w:pPr>
        <w:spacing w:after="0"/>
        <w:rPr>
          <w:rFonts w:cs="Arial"/>
        </w:rPr>
      </w:pPr>
      <w:r>
        <w:rPr>
          <w:rFonts w:cs="Arial"/>
        </w:rPr>
        <w:t>In order to accept the four year settlement t</w:t>
      </w:r>
      <w:r w:rsidR="00B63BF2" w:rsidRPr="00882976">
        <w:rPr>
          <w:rFonts w:cs="Arial"/>
        </w:rPr>
        <w:t>he County Council</w:t>
      </w:r>
      <w:r>
        <w:rPr>
          <w:rFonts w:cs="Arial"/>
        </w:rPr>
        <w:t xml:space="preserve"> would have been required to provide an efficiency plan that could deliver a balanced budget. However </w:t>
      </w:r>
      <w:r w:rsidR="00B63BF2" w:rsidRPr="00882976">
        <w:rPr>
          <w:rFonts w:cs="Arial"/>
        </w:rPr>
        <w:t xml:space="preserve"> as it has bee</w:t>
      </w:r>
      <w:r w:rsidR="00E007F5" w:rsidRPr="00882976">
        <w:rPr>
          <w:rFonts w:cs="Arial"/>
        </w:rPr>
        <w:t>n evidenced</w:t>
      </w:r>
      <w:r>
        <w:rPr>
          <w:rFonts w:cs="Arial"/>
        </w:rPr>
        <w:t xml:space="preserve"> by work completed on the base budget review and regular reviews of the MTFS</w:t>
      </w:r>
      <w:r w:rsidR="00E007F5" w:rsidRPr="00882976">
        <w:rPr>
          <w:rFonts w:cs="Arial"/>
        </w:rPr>
        <w:t xml:space="preserve">, and validated by PwC, </w:t>
      </w:r>
      <w:r w:rsidR="00B63BF2" w:rsidRPr="00882976">
        <w:rPr>
          <w:rFonts w:cs="Arial"/>
        </w:rPr>
        <w:t>there are not sufficient funds within th</w:t>
      </w:r>
      <w:r w:rsidR="00391A51" w:rsidRPr="00882976">
        <w:rPr>
          <w:rFonts w:cs="Arial"/>
        </w:rPr>
        <w:t>e proposed</w:t>
      </w:r>
      <w:r w:rsidR="00B63BF2" w:rsidRPr="00882976">
        <w:rPr>
          <w:rFonts w:cs="Arial"/>
        </w:rPr>
        <w:t xml:space="preserve"> settlement to support the Council's statutory service</w:t>
      </w:r>
      <w:r w:rsidR="00E007F5" w:rsidRPr="00882976">
        <w:rPr>
          <w:rFonts w:cs="Arial"/>
        </w:rPr>
        <w:t>s</w:t>
      </w:r>
      <w:r w:rsidR="00B63BF2" w:rsidRPr="00882976">
        <w:rPr>
          <w:rFonts w:cs="Arial"/>
        </w:rPr>
        <w:t>.</w:t>
      </w:r>
      <w:r>
        <w:rPr>
          <w:rFonts w:cs="Arial"/>
        </w:rPr>
        <w:t xml:space="preserve"> This has resulted in the County Council declining the offer of a four year settlement. </w:t>
      </w:r>
    </w:p>
    <w:p w14:paraId="48A9A7F2" w14:textId="77777777" w:rsidR="00E01CDC" w:rsidRDefault="00E01CDC" w:rsidP="00B63BFC">
      <w:pPr>
        <w:spacing w:after="0"/>
        <w:rPr>
          <w:rFonts w:cs="Arial"/>
        </w:rPr>
      </w:pPr>
    </w:p>
    <w:p w14:paraId="14265024" w14:textId="5AF21371" w:rsidR="00E007F5" w:rsidRDefault="004F5A89" w:rsidP="00B63BFC">
      <w:pPr>
        <w:spacing w:after="0"/>
        <w:rPr>
          <w:rFonts w:cs="Arial"/>
        </w:rPr>
      </w:pPr>
      <w:r>
        <w:rPr>
          <w:rFonts w:cs="Arial"/>
        </w:rPr>
        <w:t>Although the Revenue Support Grant has been confirme</w:t>
      </w:r>
      <w:r w:rsidR="00E01CDC">
        <w:rPr>
          <w:rFonts w:cs="Arial"/>
        </w:rPr>
        <w:t xml:space="preserve">d for 2017/18 the decision not to take the four year settlement could result in </w:t>
      </w:r>
      <w:r w:rsidR="006232DD">
        <w:rPr>
          <w:rFonts w:cs="Arial"/>
        </w:rPr>
        <w:t>future year</w:t>
      </w:r>
      <w:r>
        <w:rPr>
          <w:rFonts w:cs="Arial"/>
        </w:rPr>
        <w:t xml:space="preserve">s grant </w:t>
      </w:r>
      <w:r w:rsidR="00E01CDC">
        <w:rPr>
          <w:rFonts w:cs="Arial"/>
        </w:rPr>
        <w:t xml:space="preserve">being </w:t>
      </w:r>
      <w:r>
        <w:rPr>
          <w:rFonts w:cs="Arial"/>
        </w:rPr>
        <w:t xml:space="preserve">subject to change. </w:t>
      </w:r>
      <w:r w:rsidR="00391A51" w:rsidRPr="00882976">
        <w:rPr>
          <w:rFonts w:cs="Arial"/>
        </w:rPr>
        <w:t xml:space="preserve">As part of this forecast </w:t>
      </w:r>
      <w:r w:rsidR="00E007F5" w:rsidRPr="00882976">
        <w:rPr>
          <w:rFonts w:cs="Arial"/>
        </w:rPr>
        <w:t xml:space="preserve">Revenue Support Grant </w:t>
      </w:r>
      <w:r w:rsidR="003F76DE" w:rsidRPr="00882976">
        <w:rPr>
          <w:rFonts w:cs="Arial"/>
        </w:rPr>
        <w:t xml:space="preserve">is assumed to reduce each year until ultimately </w:t>
      </w:r>
      <w:r w:rsidR="00E007F5" w:rsidRPr="00882976">
        <w:rPr>
          <w:rFonts w:cs="Arial"/>
        </w:rPr>
        <w:t xml:space="preserve">it </w:t>
      </w:r>
      <w:r w:rsidR="003F76DE" w:rsidRPr="00882976">
        <w:rPr>
          <w:rFonts w:cs="Arial"/>
        </w:rPr>
        <w:t>is phase</w:t>
      </w:r>
      <w:r w:rsidR="009113C7" w:rsidRPr="00882976">
        <w:rPr>
          <w:rFonts w:cs="Arial"/>
        </w:rPr>
        <w:t>d</w:t>
      </w:r>
      <w:r w:rsidR="003F76DE" w:rsidRPr="00882976">
        <w:rPr>
          <w:rFonts w:cs="Arial"/>
        </w:rPr>
        <w:t xml:space="preserve"> out completely by April 2021 at the latest.   </w:t>
      </w:r>
    </w:p>
    <w:p w14:paraId="3DBF1DFE" w14:textId="77777777" w:rsidR="00DA15D9" w:rsidRPr="00882976" w:rsidRDefault="00DA15D9" w:rsidP="001821C9">
      <w:pPr>
        <w:spacing w:after="0"/>
        <w:rPr>
          <w:rFonts w:cs="Arial"/>
        </w:rPr>
      </w:pPr>
    </w:p>
    <w:p w14:paraId="6CC7296C" w14:textId="13E0AE3F" w:rsidR="00A32D45" w:rsidRPr="00882976" w:rsidRDefault="00E01CDC" w:rsidP="001821C9">
      <w:pPr>
        <w:spacing w:after="0"/>
        <w:rPr>
          <w:rFonts w:cs="Arial"/>
        </w:rPr>
      </w:pPr>
      <w:r>
        <w:rPr>
          <w:rFonts w:cs="Arial"/>
        </w:rPr>
        <w:t>A further significant</w:t>
      </w:r>
      <w:r w:rsidR="00A32D45" w:rsidRPr="00882976">
        <w:rPr>
          <w:rFonts w:cs="Arial"/>
        </w:rPr>
        <w:t xml:space="preserve"> risk associated with the figures include</w:t>
      </w:r>
      <w:r w:rsidR="006232DD">
        <w:rPr>
          <w:rFonts w:cs="Arial"/>
        </w:rPr>
        <w:t>d</w:t>
      </w:r>
      <w:r w:rsidR="00A32D45" w:rsidRPr="00882976">
        <w:rPr>
          <w:rFonts w:cs="Arial"/>
        </w:rPr>
        <w:t xml:space="preserve"> in the table above</w:t>
      </w:r>
      <w:r>
        <w:rPr>
          <w:rFonts w:cs="Arial"/>
        </w:rPr>
        <w:t xml:space="preserve"> relates to growth</w:t>
      </w:r>
      <w:r w:rsidR="00A32D45" w:rsidRPr="00882976">
        <w:rPr>
          <w:rFonts w:cs="Arial"/>
        </w:rPr>
        <w:t xml:space="preserve">. At the time of the </w:t>
      </w:r>
      <w:r w:rsidR="00B63BFC">
        <w:rPr>
          <w:rFonts w:cs="Arial"/>
        </w:rPr>
        <w:t xml:space="preserve">Autumn Statement the Chancellor indicated that that the economy was still resilient but forecasted a fall in future economic growth. </w:t>
      </w:r>
      <w:r w:rsidR="00A32D45" w:rsidRPr="00882976">
        <w:rPr>
          <w:rFonts w:cs="Arial"/>
        </w:rPr>
        <w:t xml:space="preserve"> </w:t>
      </w:r>
      <w:r w:rsidR="00B63BFC">
        <w:rPr>
          <w:rFonts w:cs="Arial"/>
        </w:rPr>
        <w:t>T</w:t>
      </w:r>
      <w:r w:rsidR="00A32D45" w:rsidRPr="00882976">
        <w:rPr>
          <w:rFonts w:cs="Arial"/>
        </w:rPr>
        <w:t>he forecast of economic growth</w:t>
      </w:r>
      <w:r w:rsidR="00B63BFC">
        <w:rPr>
          <w:rFonts w:cs="Arial"/>
        </w:rPr>
        <w:t xml:space="preserve"> at the time of the Autumn Statement </w:t>
      </w:r>
      <w:r w:rsidR="00A32D45" w:rsidRPr="00882976">
        <w:rPr>
          <w:rFonts w:cs="Arial"/>
        </w:rPr>
        <w:t>was</w:t>
      </w:r>
      <w:r w:rsidR="003A5A5D">
        <w:rPr>
          <w:rFonts w:cs="Arial"/>
        </w:rPr>
        <w:t xml:space="preserve"> 2</w:t>
      </w:r>
      <w:r w:rsidR="00B63BFC">
        <w:rPr>
          <w:rFonts w:cs="Arial"/>
        </w:rPr>
        <w:t>.1</w:t>
      </w:r>
      <w:r w:rsidR="003A5A5D">
        <w:rPr>
          <w:rFonts w:cs="Arial"/>
        </w:rPr>
        <w:t xml:space="preserve">% </w:t>
      </w:r>
      <w:r w:rsidR="00B63BFC">
        <w:rPr>
          <w:rFonts w:cs="Arial"/>
        </w:rPr>
        <w:t>for 2016</w:t>
      </w:r>
      <w:r w:rsidR="003A5A5D">
        <w:rPr>
          <w:rFonts w:cs="Arial"/>
        </w:rPr>
        <w:t xml:space="preserve"> </w:t>
      </w:r>
      <w:r w:rsidR="00B63BFC">
        <w:rPr>
          <w:rFonts w:cs="Arial"/>
        </w:rPr>
        <w:t>but estimated</w:t>
      </w:r>
      <w:r w:rsidR="003A5A5D">
        <w:rPr>
          <w:rFonts w:cs="Arial"/>
        </w:rPr>
        <w:t xml:space="preserve"> a worsening position in 2017 (1.4%) and 2018 (1.7%).</w:t>
      </w:r>
      <w:r w:rsidR="00A32D45" w:rsidRPr="00882976">
        <w:rPr>
          <w:rFonts w:cs="Arial"/>
        </w:rPr>
        <w:t xml:space="preserve"> </w:t>
      </w:r>
      <w:r w:rsidR="00C60316">
        <w:rPr>
          <w:rFonts w:cs="Arial"/>
        </w:rPr>
        <w:t xml:space="preserve">There is currently </w:t>
      </w:r>
      <w:r w:rsidR="00C60316">
        <w:rPr>
          <w:rFonts w:cs="Arial"/>
        </w:rPr>
        <w:lastRenderedPageBreak/>
        <w:t>still</w:t>
      </w:r>
      <w:r w:rsidR="00A32D45" w:rsidRPr="00882976">
        <w:rPr>
          <w:rFonts w:cs="Arial"/>
        </w:rPr>
        <w:t xml:space="preserve"> uncertainty both at home and in the world economy, particularly following the United Kingdom's decision to leave the European Union. This will have an impact on Government finances and could potentially result in further public sector expenditure reductions although the Chancellor has announced that the aim to generate a surplus by the end of parliament is no longer sustainable. </w:t>
      </w:r>
    </w:p>
    <w:p w14:paraId="67BE90D2" w14:textId="77777777" w:rsidR="00FA1C1D" w:rsidRDefault="00FA1C1D" w:rsidP="00FA1C1D">
      <w:pPr>
        <w:spacing w:after="0"/>
        <w:rPr>
          <w:rFonts w:cs="Arial"/>
          <w:b/>
          <w:u w:val="single"/>
        </w:rPr>
      </w:pPr>
    </w:p>
    <w:p w14:paraId="437A6A45" w14:textId="4A4BB9CC" w:rsidR="00FA1C1D" w:rsidRPr="00882976" w:rsidRDefault="00A32D45" w:rsidP="00FA1C1D">
      <w:pPr>
        <w:spacing w:after="0"/>
        <w:rPr>
          <w:rFonts w:cs="Arial"/>
          <w:b/>
          <w:u w:val="single"/>
        </w:rPr>
      </w:pPr>
      <w:r w:rsidRPr="00882976">
        <w:rPr>
          <w:rFonts w:cs="Arial"/>
          <w:b/>
          <w:u w:val="single"/>
        </w:rPr>
        <w:t xml:space="preserve">Business Rates </w:t>
      </w:r>
    </w:p>
    <w:p w14:paraId="7211CCC8" w14:textId="77777777" w:rsidR="00FA1C1D" w:rsidRDefault="00FA1C1D" w:rsidP="00FA1C1D">
      <w:pPr>
        <w:spacing w:after="0"/>
        <w:rPr>
          <w:rFonts w:cs="Arial"/>
        </w:rPr>
      </w:pPr>
    </w:p>
    <w:p w14:paraId="39663CEA" w14:textId="32BF5AF9" w:rsidR="00A32D45" w:rsidRPr="00882976" w:rsidRDefault="00A32D45" w:rsidP="00FA1C1D">
      <w:pPr>
        <w:spacing w:after="0"/>
        <w:rPr>
          <w:rFonts w:cs="Arial"/>
        </w:rPr>
      </w:pPr>
      <w:r w:rsidRPr="00882976">
        <w:rPr>
          <w:rFonts w:cs="Arial"/>
        </w:rPr>
        <w:t>The business rates budget consists of</w:t>
      </w:r>
      <w:r w:rsidR="001821C9" w:rsidRPr="00882976">
        <w:rPr>
          <w:rFonts w:cs="Arial"/>
        </w:rPr>
        <w:t>:</w:t>
      </w:r>
    </w:p>
    <w:p w14:paraId="223BA89D" w14:textId="77777777" w:rsidR="00A32D45" w:rsidRPr="00882976" w:rsidRDefault="00A32D45" w:rsidP="00882976">
      <w:pPr>
        <w:pStyle w:val="ListParagraph"/>
        <w:numPr>
          <w:ilvl w:val="0"/>
          <w:numId w:val="28"/>
        </w:numPr>
        <w:autoSpaceDE/>
        <w:autoSpaceDN/>
        <w:adjustRightInd/>
        <w:spacing w:after="160" w:line="259" w:lineRule="auto"/>
        <w:jc w:val="left"/>
        <w:rPr>
          <w:rFonts w:cs="Arial"/>
        </w:rPr>
      </w:pPr>
      <w:r w:rsidRPr="00882976">
        <w:rPr>
          <w:rFonts w:cs="Arial"/>
        </w:rPr>
        <w:t>Business rate top up grant</w:t>
      </w:r>
    </w:p>
    <w:p w14:paraId="65C04D13" w14:textId="16F28DEA" w:rsidR="00A32D45" w:rsidRPr="00882976" w:rsidRDefault="001821C9" w:rsidP="00882976">
      <w:pPr>
        <w:pStyle w:val="ListParagraph"/>
        <w:numPr>
          <w:ilvl w:val="0"/>
          <w:numId w:val="28"/>
        </w:numPr>
        <w:autoSpaceDE/>
        <w:autoSpaceDN/>
        <w:adjustRightInd/>
        <w:spacing w:after="160" w:line="259" w:lineRule="auto"/>
        <w:jc w:val="left"/>
        <w:rPr>
          <w:rFonts w:cs="Arial"/>
        </w:rPr>
      </w:pPr>
      <w:r w:rsidRPr="00882976">
        <w:rPr>
          <w:rFonts w:cs="Arial"/>
        </w:rPr>
        <w:t>Business rate income from D</w:t>
      </w:r>
      <w:r w:rsidR="00A32D45" w:rsidRPr="00882976">
        <w:rPr>
          <w:rFonts w:cs="Arial"/>
        </w:rPr>
        <w:t>istrict</w:t>
      </w:r>
      <w:r w:rsidRPr="00882976">
        <w:rPr>
          <w:rFonts w:cs="Arial"/>
        </w:rPr>
        <w:t xml:space="preserve"> Councils</w:t>
      </w:r>
    </w:p>
    <w:p w14:paraId="1D59BB07" w14:textId="60489F9C" w:rsidR="00A32D45" w:rsidRPr="00882976" w:rsidRDefault="001821C9" w:rsidP="00882976">
      <w:pPr>
        <w:pStyle w:val="ListParagraph"/>
        <w:numPr>
          <w:ilvl w:val="0"/>
          <w:numId w:val="28"/>
        </w:numPr>
        <w:autoSpaceDE/>
        <w:autoSpaceDN/>
        <w:adjustRightInd/>
        <w:spacing w:after="160" w:line="259" w:lineRule="auto"/>
        <w:jc w:val="left"/>
        <w:rPr>
          <w:rFonts w:cs="Arial"/>
        </w:rPr>
      </w:pPr>
      <w:r w:rsidRPr="00882976">
        <w:rPr>
          <w:rFonts w:cs="Arial"/>
        </w:rPr>
        <w:t>Section 31 g</w:t>
      </w:r>
      <w:r w:rsidR="00A32D45" w:rsidRPr="00882976">
        <w:rPr>
          <w:rFonts w:cs="Arial"/>
        </w:rPr>
        <w:t>rants</w:t>
      </w:r>
    </w:p>
    <w:p w14:paraId="1668CF51" w14:textId="0828E14C" w:rsidR="00A32D45" w:rsidRDefault="00A32D45" w:rsidP="001821C9">
      <w:pPr>
        <w:spacing w:after="0"/>
        <w:rPr>
          <w:rFonts w:cs="Arial"/>
        </w:rPr>
      </w:pPr>
      <w:r w:rsidRPr="00882976">
        <w:rPr>
          <w:rFonts w:cs="Arial"/>
        </w:rPr>
        <w:t xml:space="preserve">As shown in the table </w:t>
      </w:r>
      <w:r w:rsidR="001821C9" w:rsidRPr="00882976">
        <w:rPr>
          <w:rFonts w:cs="Arial"/>
        </w:rPr>
        <w:t>above detailing the S</w:t>
      </w:r>
      <w:r w:rsidRPr="00882976">
        <w:rPr>
          <w:rFonts w:cs="Arial"/>
        </w:rPr>
        <w:t xml:space="preserve">FA the business rate income is a significant portion of funding </w:t>
      </w:r>
      <w:r w:rsidR="001821C9" w:rsidRPr="00882976">
        <w:rPr>
          <w:rFonts w:cs="Arial"/>
        </w:rPr>
        <w:t xml:space="preserve">to </w:t>
      </w:r>
      <w:r w:rsidRPr="00882976">
        <w:rPr>
          <w:rFonts w:cs="Arial"/>
        </w:rPr>
        <w:t>local authorities. The baseline is an assessment of the business rate income required to meet service needs. For the County Council the amount anticipated to be received from the business rates collected in the area is less than its assessed need</w:t>
      </w:r>
      <w:r w:rsidR="006232DD">
        <w:rPr>
          <w:rFonts w:cs="Arial"/>
        </w:rPr>
        <w:t>,</w:t>
      </w:r>
      <w:r w:rsidRPr="00882976">
        <w:rPr>
          <w:rFonts w:cs="Arial"/>
        </w:rPr>
        <w:t xml:space="preserve"> therefore it receives a top up grant. </w:t>
      </w:r>
    </w:p>
    <w:p w14:paraId="2E449A4B" w14:textId="77777777" w:rsidR="00DD6970" w:rsidRDefault="00DD6970" w:rsidP="001821C9">
      <w:pPr>
        <w:spacing w:after="0"/>
        <w:rPr>
          <w:rFonts w:cs="Arial"/>
        </w:rPr>
      </w:pPr>
    </w:p>
    <w:p w14:paraId="0610E1A7" w14:textId="2A128E1A" w:rsidR="00DD6970" w:rsidRDefault="00DD6970" w:rsidP="00DD6970">
      <w:pPr>
        <w:spacing w:after="0"/>
        <w:rPr>
          <w:rFonts w:cs="Arial"/>
        </w:rPr>
      </w:pPr>
      <w:r w:rsidRPr="00CD1DFD">
        <w:rPr>
          <w:rFonts w:cs="Arial"/>
        </w:rPr>
        <w:t xml:space="preserve">The MTFS </w:t>
      </w:r>
      <w:r>
        <w:rPr>
          <w:rFonts w:cs="Arial"/>
        </w:rPr>
        <w:t xml:space="preserve">that was reported to December Cabinet </w:t>
      </w:r>
      <w:r w:rsidRPr="00CD1DFD">
        <w:rPr>
          <w:rFonts w:cs="Arial"/>
        </w:rPr>
        <w:t>consist</w:t>
      </w:r>
      <w:r>
        <w:rPr>
          <w:rFonts w:cs="Arial"/>
        </w:rPr>
        <w:t>ed</w:t>
      </w:r>
      <w:r w:rsidRPr="00CD1DFD">
        <w:rPr>
          <w:rFonts w:cs="Arial"/>
        </w:rPr>
        <w:t xml:space="preserve"> of: </w:t>
      </w:r>
    </w:p>
    <w:p w14:paraId="50AD6E74" w14:textId="77777777" w:rsidR="00DD6970" w:rsidRPr="00CD1DFD" w:rsidRDefault="00DD6970" w:rsidP="00DD6970">
      <w:pPr>
        <w:spacing w:after="0"/>
        <w:rPr>
          <w:rFonts w:cs="Arial"/>
        </w:rPr>
      </w:pPr>
    </w:p>
    <w:tbl>
      <w:tblPr>
        <w:tblStyle w:val="TableGrid"/>
        <w:tblW w:w="9190" w:type="dxa"/>
        <w:jc w:val="center"/>
        <w:tblLayout w:type="fixed"/>
        <w:tblLook w:val="04A0" w:firstRow="1" w:lastRow="0" w:firstColumn="1" w:lastColumn="0" w:noHBand="0" w:noVBand="1"/>
      </w:tblPr>
      <w:tblGrid>
        <w:gridCol w:w="3823"/>
        <w:gridCol w:w="1341"/>
        <w:gridCol w:w="1342"/>
        <w:gridCol w:w="1342"/>
        <w:gridCol w:w="1342"/>
      </w:tblGrid>
      <w:tr w:rsidR="00DD6970" w:rsidRPr="00CD1DFD" w14:paraId="480BAF7A" w14:textId="77777777" w:rsidTr="00B55F81">
        <w:trPr>
          <w:trHeight w:val="581"/>
          <w:jc w:val="center"/>
        </w:trPr>
        <w:tc>
          <w:tcPr>
            <w:tcW w:w="3823" w:type="dxa"/>
            <w:shd w:val="clear" w:color="auto" w:fill="BFBFBF" w:themeFill="background1" w:themeFillShade="BF"/>
            <w:vAlign w:val="center"/>
          </w:tcPr>
          <w:p w14:paraId="2873271E" w14:textId="77777777" w:rsidR="00DD6970" w:rsidRPr="00CD1DFD" w:rsidRDefault="00DD6970" w:rsidP="00B55F81">
            <w:pPr>
              <w:pStyle w:val="NoSpacing"/>
              <w:jc w:val="both"/>
              <w:rPr>
                <w:rFonts w:cs="Arial"/>
              </w:rPr>
            </w:pPr>
          </w:p>
        </w:tc>
        <w:tc>
          <w:tcPr>
            <w:tcW w:w="1341" w:type="dxa"/>
            <w:shd w:val="clear" w:color="auto" w:fill="BFBFBF" w:themeFill="background1" w:themeFillShade="BF"/>
            <w:vAlign w:val="center"/>
          </w:tcPr>
          <w:p w14:paraId="64B06E9B" w14:textId="77777777" w:rsidR="00DD6970" w:rsidRPr="00CD1DFD" w:rsidRDefault="00DD6970" w:rsidP="00B55F81">
            <w:pPr>
              <w:pStyle w:val="NoSpacing"/>
              <w:jc w:val="center"/>
              <w:rPr>
                <w:rFonts w:cs="Arial"/>
                <w:b/>
              </w:rPr>
            </w:pPr>
            <w:r w:rsidRPr="00CD1DFD">
              <w:rPr>
                <w:rFonts w:cs="Arial"/>
                <w:b/>
              </w:rPr>
              <w:t>2017/18</w:t>
            </w:r>
          </w:p>
          <w:p w14:paraId="5F901FCD" w14:textId="77777777" w:rsidR="00DD6970" w:rsidRPr="00CD1DFD" w:rsidRDefault="00DD6970" w:rsidP="00B55F81">
            <w:pPr>
              <w:pStyle w:val="NoSpacing"/>
              <w:jc w:val="center"/>
              <w:rPr>
                <w:rFonts w:cs="Arial"/>
                <w:b/>
              </w:rPr>
            </w:pPr>
            <w:r w:rsidRPr="00CD1DFD">
              <w:rPr>
                <w:rFonts w:cs="Arial"/>
                <w:b/>
              </w:rPr>
              <w:t>£m</w:t>
            </w:r>
          </w:p>
        </w:tc>
        <w:tc>
          <w:tcPr>
            <w:tcW w:w="1342" w:type="dxa"/>
            <w:shd w:val="clear" w:color="auto" w:fill="BFBFBF" w:themeFill="background1" w:themeFillShade="BF"/>
            <w:vAlign w:val="center"/>
          </w:tcPr>
          <w:p w14:paraId="3720E01A" w14:textId="77777777" w:rsidR="00DD6970" w:rsidRPr="00CD1DFD" w:rsidRDefault="00DD6970" w:rsidP="00B55F81">
            <w:pPr>
              <w:pStyle w:val="NoSpacing"/>
              <w:jc w:val="center"/>
              <w:rPr>
                <w:rFonts w:cs="Arial"/>
                <w:b/>
              </w:rPr>
            </w:pPr>
            <w:r w:rsidRPr="00CD1DFD">
              <w:rPr>
                <w:rFonts w:cs="Arial"/>
                <w:b/>
              </w:rPr>
              <w:t>2018/19</w:t>
            </w:r>
          </w:p>
          <w:p w14:paraId="03421D1E" w14:textId="77777777" w:rsidR="00DD6970" w:rsidRPr="00CD1DFD" w:rsidRDefault="00DD6970" w:rsidP="00B55F81">
            <w:pPr>
              <w:pStyle w:val="NoSpacing"/>
              <w:jc w:val="center"/>
              <w:rPr>
                <w:rFonts w:cs="Arial"/>
                <w:b/>
              </w:rPr>
            </w:pPr>
            <w:r w:rsidRPr="00CD1DFD">
              <w:rPr>
                <w:rFonts w:cs="Arial"/>
                <w:b/>
              </w:rPr>
              <w:t>£m</w:t>
            </w:r>
          </w:p>
        </w:tc>
        <w:tc>
          <w:tcPr>
            <w:tcW w:w="1342" w:type="dxa"/>
            <w:shd w:val="clear" w:color="auto" w:fill="BFBFBF" w:themeFill="background1" w:themeFillShade="BF"/>
            <w:vAlign w:val="center"/>
          </w:tcPr>
          <w:p w14:paraId="1A63A8F2" w14:textId="77777777" w:rsidR="00DD6970" w:rsidRPr="00CD1DFD" w:rsidRDefault="00DD6970" w:rsidP="00B55F81">
            <w:pPr>
              <w:pStyle w:val="NoSpacing"/>
              <w:jc w:val="center"/>
              <w:rPr>
                <w:rFonts w:cs="Arial"/>
                <w:b/>
              </w:rPr>
            </w:pPr>
            <w:r w:rsidRPr="00CD1DFD">
              <w:rPr>
                <w:rFonts w:cs="Arial"/>
                <w:b/>
              </w:rPr>
              <w:t>2019/20</w:t>
            </w:r>
          </w:p>
          <w:p w14:paraId="7C55035C" w14:textId="77777777" w:rsidR="00DD6970" w:rsidRPr="00CD1DFD" w:rsidRDefault="00DD6970" w:rsidP="00B55F81">
            <w:pPr>
              <w:pStyle w:val="NoSpacing"/>
              <w:jc w:val="center"/>
              <w:rPr>
                <w:rFonts w:cs="Arial"/>
                <w:b/>
              </w:rPr>
            </w:pPr>
            <w:r w:rsidRPr="00CD1DFD">
              <w:rPr>
                <w:rFonts w:cs="Arial"/>
                <w:b/>
              </w:rPr>
              <w:t>£m</w:t>
            </w:r>
          </w:p>
        </w:tc>
        <w:tc>
          <w:tcPr>
            <w:tcW w:w="1342" w:type="dxa"/>
            <w:shd w:val="clear" w:color="auto" w:fill="BFBFBF" w:themeFill="background1" w:themeFillShade="BF"/>
            <w:vAlign w:val="center"/>
          </w:tcPr>
          <w:p w14:paraId="646EE126" w14:textId="77777777" w:rsidR="00DD6970" w:rsidRPr="00CD1DFD" w:rsidRDefault="00DD6970" w:rsidP="00B55F81">
            <w:pPr>
              <w:pStyle w:val="NoSpacing"/>
              <w:jc w:val="center"/>
              <w:rPr>
                <w:rFonts w:cs="Arial"/>
                <w:b/>
              </w:rPr>
            </w:pPr>
            <w:r w:rsidRPr="00CD1DFD">
              <w:rPr>
                <w:rFonts w:cs="Arial"/>
                <w:b/>
              </w:rPr>
              <w:t>2020/21</w:t>
            </w:r>
          </w:p>
          <w:p w14:paraId="0CC04B0B" w14:textId="77777777" w:rsidR="00DD6970" w:rsidRPr="00CD1DFD" w:rsidRDefault="00DD6970" w:rsidP="00B55F81">
            <w:pPr>
              <w:pStyle w:val="NoSpacing"/>
              <w:jc w:val="center"/>
              <w:rPr>
                <w:rFonts w:cs="Arial"/>
                <w:b/>
              </w:rPr>
            </w:pPr>
            <w:r w:rsidRPr="00CD1DFD">
              <w:rPr>
                <w:rFonts w:cs="Arial"/>
                <w:b/>
              </w:rPr>
              <w:t>£m</w:t>
            </w:r>
          </w:p>
        </w:tc>
      </w:tr>
      <w:tr w:rsidR="00DD6970" w:rsidRPr="00CD1DFD" w14:paraId="5D96AB7B" w14:textId="77777777" w:rsidTr="00B55F81">
        <w:trPr>
          <w:trHeight w:val="541"/>
          <w:jc w:val="center"/>
        </w:trPr>
        <w:tc>
          <w:tcPr>
            <w:tcW w:w="3823" w:type="dxa"/>
            <w:vAlign w:val="center"/>
          </w:tcPr>
          <w:p w14:paraId="0357A3EE" w14:textId="77777777" w:rsidR="00DD6970" w:rsidRPr="00CD1DFD" w:rsidRDefault="00DD6970" w:rsidP="00B55F81">
            <w:pPr>
              <w:pStyle w:val="NoSpacing"/>
              <w:spacing w:line="276" w:lineRule="auto"/>
              <w:rPr>
                <w:rFonts w:cs="Arial"/>
              </w:rPr>
            </w:pPr>
            <w:r w:rsidRPr="00CD1DFD">
              <w:rPr>
                <w:rFonts w:cs="Arial"/>
              </w:rPr>
              <w:t>Top Up grant</w:t>
            </w:r>
          </w:p>
        </w:tc>
        <w:tc>
          <w:tcPr>
            <w:tcW w:w="1341" w:type="dxa"/>
            <w:vAlign w:val="center"/>
          </w:tcPr>
          <w:p w14:paraId="5438954F" w14:textId="77777777" w:rsidR="00DD6970" w:rsidRPr="00CD1DFD" w:rsidRDefault="00DD6970" w:rsidP="00B55F81">
            <w:pPr>
              <w:pStyle w:val="NoSpacing"/>
              <w:spacing w:line="276" w:lineRule="auto"/>
              <w:jc w:val="right"/>
              <w:rPr>
                <w:rFonts w:cs="Arial"/>
              </w:rPr>
            </w:pPr>
            <w:r w:rsidRPr="00CD1DFD">
              <w:rPr>
                <w:rFonts w:cs="Arial"/>
              </w:rPr>
              <w:t>142.</w:t>
            </w:r>
            <w:r>
              <w:rPr>
                <w:rFonts w:cs="Arial"/>
              </w:rPr>
              <w:t>827</w:t>
            </w:r>
          </w:p>
        </w:tc>
        <w:tc>
          <w:tcPr>
            <w:tcW w:w="1342" w:type="dxa"/>
            <w:vAlign w:val="center"/>
          </w:tcPr>
          <w:p w14:paraId="19C4EC37" w14:textId="77777777" w:rsidR="00DD6970" w:rsidRPr="00CD1DFD" w:rsidRDefault="00DD6970" w:rsidP="00B55F81">
            <w:pPr>
              <w:pStyle w:val="NoSpacing"/>
              <w:spacing w:line="276" w:lineRule="auto"/>
              <w:jc w:val="right"/>
              <w:rPr>
                <w:rFonts w:cs="Arial"/>
              </w:rPr>
            </w:pPr>
            <w:r w:rsidRPr="00CD1DFD">
              <w:rPr>
                <w:rFonts w:cs="Arial"/>
              </w:rPr>
              <w:t>147.041</w:t>
            </w:r>
          </w:p>
        </w:tc>
        <w:tc>
          <w:tcPr>
            <w:tcW w:w="1342" w:type="dxa"/>
            <w:vAlign w:val="center"/>
          </w:tcPr>
          <w:p w14:paraId="32A6BEC4" w14:textId="77777777" w:rsidR="00DD6970" w:rsidRPr="00CD1DFD" w:rsidRDefault="00DD6970" w:rsidP="00B55F81">
            <w:pPr>
              <w:pStyle w:val="NoSpacing"/>
              <w:spacing w:line="276" w:lineRule="auto"/>
              <w:jc w:val="right"/>
              <w:rPr>
                <w:rFonts w:cs="Arial"/>
              </w:rPr>
            </w:pPr>
            <w:r w:rsidRPr="00CD1DFD">
              <w:rPr>
                <w:rFonts w:cs="Arial"/>
              </w:rPr>
              <w:t>151.741</w:t>
            </w:r>
          </w:p>
        </w:tc>
        <w:tc>
          <w:tcPr>
            <w:tcW w:w="1342" w:type="dxa"/>
            <w:vAlign w:val="center"/>
          </w:tcPr>
          <w:p w14:paraId="41F1354D" w14:textId="77777777" w:rsidR="00DD6970" w:rsidRPr="00CD1DFD" w:rsidRDefault="00DD6970" w:rsidP="00B55F81">
            <w:pPr>
              <w:pStyle w:val="NoSpacing"/>
              <w:spacing w:line="276" w:lineRule="auto"/>
              <w:jc w:val="right"/>
              <w:rPr>
                <w:rFonts w:cs="Arial"/>
              </w:rPr>
            </w:pPr>
            <w:r w:rsidRPr="00CD1DFD">
              <w:rPr>
                <w:rFonts w:cs="Arial"/>
              </w:rPr>
              <w:t>156.441</w:t>
            </w:r>
          </w:p>
        </w:tc>
      </w:tr>
      <w:tr w:rsidR="00DD6970" w:rsidRPr="00CD1DFD" w14:paraId="66518EC8" w14:textId="77777777" w:rsidTr="00B55F81">
        <w:trPr>
          <w:trHeight w:val="541"/>
          <w:jc w:val="center"/>
        </w:trPr>
        <w:tc>
          <w:tcPr>
            <w:tcW w:w="3823" w:type="dxa"/>
            <w:vAlign w:val="center"/>
          </w:tcPr>
          <w:p w14:paraId="783D65B9" w14:textId="77777777" w:rsidR="00DD6970" w:rsidRPr="00CD1DFD" w:rsidRDefault="00DD6970" w:rsidP="00B55F81">
            <w:pPr>
              <w:pStyle w:val="NoSpacing"/>
              <w:spacing w:line="276" w:lineRule="auto"/>
              <w:rPr>
                <w:rFonts w:cs="Arial"/>
              </w:rPr>
            </w:pPr>
            <w:r w:rsidRPr="00CD1DFD">
              <w:rPr>
                <w:rFonts w:cs="Arial"/>
              </w:rPr>
              <w:t>Funding from Districts at baseline</w:t>
            </w:r>
          </w:p>
        </w:tc>
        <w:tc>
          <w:tcPr>
            <w:tcW w:w="1341" w:type="dxa"/>
            <w:vAlign w:val="center"/>
          </w:tcPr>
          <w:p w14:paraId="66745474" w14:textId="77777777" w:rsidR="00DD6970" w:rsidRPr="00CD1DFD" w:rsidRDefault="00DD6970" w:rsidP="00B55F81">
            <w:pPr>
              <w:pStyle w:val="NoSpacing"/>
              <w:spacing w:line="276" w:lineRule="auto"/>
              <w:jc w:val="right"/>
              <w:rPr>
                <w:rFonts w:cs="Arial"/>
              </w:rPr>
            </w:pPr>
            <w:r w:rsidRPr="00CD1DFD">
              <w:rPr>
                <w:rFonts w:cs="Arial"/>
              </w:rPr>
              <w:t>33.991</w:t>
            </w:r>
          </w:p>
        </w:tc>
        <w:tc>
          <w:tcPr>
            <w:tcW w:w="1342" w:type="dxa"/>
            <w:vAlign w:val="center"/>
          </w:tcPr>
          <w:p w14:paraId="17D8D5DD" w14:textId="77777777" w:rsidR="00DD6970" w:rsidRPr="00CD1DFD" w:rsidRDefault="00DD6970" w:rsidP="00B55F81">
            <w:pPr>
              <w:pStyle w:val="NoSpacing"/>
              <w:spacing w:line="276" w:lineRule="auto"/>
              <w:jc w:val="right"/>
              <w:rPr>
                <w:rFonts w:cs="Arial"/>
              </w:rPr>
            </w:pPr>
            <w:r w:rsidRPr="00CD1DFD">
              <w:rPr>
                <w:rFonts w:cs="Arial"/>
              </w:rPr>
              <w:t>34.994</w:t>
            </w:r>
          </w:p>
        </w:tc>
        <w:tc>
          <w:tcPr>
            <w:tcW w:w="1342" w:type="dxa"/>
            <w:vAlign w:val="center"/>
          </w:tcPr>
          <w:p w14:paraId="74912C17" w14:textId="77777777" w:rsidR="00DD6970" w:rsidRPr="00CD1DFD" w:rsidRDefault="00DD6970" w:rsidP="00B55F81">
            <w:pPr>
              <w:pStyle w:val="NoSpacing"/>
              <w:spacing w:line="276" w:lineRule="auto"/>
              <w:jc w:val="right"/>
              <w:rPr>
                <w:rFonts w:cs="Arial"/>
              </w:rPr>
            </w:pPr>
            <w:r w:rsidRPr="00CD1DFD">
              <w:rPr>
                <w:rFonts w:cs="Arial"/>
              </w:rPr>
              <w:t>36.112</w:t>
            </w:r>
          </w:p>
        </w:tc>
        <w:tc>
          <w:tcPr>
            <w:tcW w:w="1342" w:type="dxa"/>
            <w:vAlign w:val="center"/>
          </w:tcPr>
          <w:p w14:paraId="00556007" w14:textId="77777777" w:rsidR="00DD6970" w:rsidRPr="00CD1DFD" w:rsidRDefault="00DD6970" w:rsidP="00B55F81">
            <w:pPr>
              <w:pStyle w:val="NoSpacing"/>
              <w:spacing w:line="276" w:lineRule="auto"/>
              <w:jc w:val="right"/>
              <w:rPr>
                <w:rFonts w:cs="Arial"/>
              </w:rPr>
            </w:pPr>
            <w:r w:rsidRPr="00CD1DFD">
              <w:rPr>
                <w:rFonts w:cs="Arial"/>
              </w:rPr>
              <w:t>36.542</w:t>
            </w:r>
          </w:p>
        </w:tc>
      </w:tr>
      <w:tr w:rsidR="00DD6970" w:rsidRPr="00CD1DFD" w14:paraId="7E659C0D" w14:textId="77777777" w:rsidTr="00B55F81">
        <w:trPr>
          <w:trHeight w:val="541"/>
          <w:jc w:val="center"/>
        </w:trPr>
        <w:tc>
          <w:tcPr>
            <w:tcW w:w="3823" w:type="dxa"/>
            <w:vAlign w:val="center"/>
          </w:tcPr>
          <w:p w14:paraId="61DF8F3C" w14:textId="77777777" w:rsidR="00DD6970" w:rsidRPr="00CD1DFD" w:rsidRDefault="00DD6970" w:rsidP="00B55F81">
            <w:pPr>
              <w:pStyle w:val="NoSpacing"/>
              <w:spacing w:line="276" w:lineRule="auto"/>
              <w:rPr>
                <w:rFonts w:cs="Arial"/>
              </w:rPr>
            </w:pPr>
            <w:r w:rsidRPr="00CD1DFD">
              <w:rPr>
                <w:rFonts w:cs="Arial"/>
              </w:rPr>
              <w:t>S31 Grants</w:t>
            </w:r>
          </w:p>
        </w:tc>
        <w:tc>
          <w:tcPr>
            <w:tcW w:w="1341" w:type="dxa"/>
            <w:vAlign w:val="center"/>
          </w:tcPr>
          <w:p w14:paraId="5886CD55" w14:textId="1748065A" w:rsidR="00DD6970" w:rsidRPr="00CD1DFD" w:rsidRDefault="005010DA" w:rsidP="00B55F81">
            <w:pPr>
              <w:pStyle w:val="NoSpacing"/>
              <w:spacing w:line="276" w:lineRule="auto"/>
              <w:jc w:val="right"/>
              <w:rPr>
                <w:rFonts w:cs="Arial"/>
              </w:rPr>
            </w:pPr>
            <w:r>
              <w:rPr>
                <w:rFonts w:cs="Arial"/>
              </w:rPr>
              <w:t>4.043</w:t>
            </w:r>
          </w:p>
        </w:tc>
        <w:tc>
          <w:tcPr>
            <w:tcW w:w="1342" w:type="dxa"/>
            <w:vAlign w:val="center"/>
          </w:tcPr>
          <w:p w14:paraId="46801C3B" w14:textId="22144105" w:rsidR="00DD6970" w:rsidRPr="00CD1DFD" w:rsidRDefault="005010DA" w:rsidP="00B55F81">
            <w:pPr>
              <w:pStyle w:val="NoSpacing"/>
              <w:spacing w:line="276" w:lineRule="auto"/>
              <w:jc w:val="right"/>
              <w:rPr>
                <w:rFonts w:cs="Arial"/>
              </w:rPr>
            </w:pPr>
            <w:r>
              <w:rPr>
                <w:rFonts w:cs="Arial"/>
              </w:rPr>
              <w:t>4.106</w:t>
            </w:r>
          </w:p>
        </w:tc>
        <w:tc>
          <w:tcPr>
            <w:tcW w:w="1342" w:type="dxa"/>
            <w:vAlign w:val="center"/>
          </w:tcPr>
          <w:p w14:paraId="3BC7E1EB" w14:textId="232A5C55" w:rsidR="00DD6970" w:rsidRPr="00CD1DFD" w:rsidRDefault="005010DA" w:rsidP="00B55F81">
            <w:pPr>
              <w:pStyle w:val="NoSpacing"/>
              <w:spacing w:line="276" w:lineRule="auto"/>
              <w:jc w:val="right"/>
              <w:rPr>
                <w:rFonts w:cs="Arial"/>
              </w:rPr>
            </w:pPr>
            <w:r>
              <w:rPr>
                <w:rFonts w:cs="Arial"/>
              </w:rPr>
              <w:t>4.185</w:t>
            </w:r>
          </w:p>
        </w:tc>
        <w:tc>
          <w:tcPr>
            <w:tcW w:w="1342" w:type="dxa"/>
            <w:vAlign w:val="center"/>
          </w:tcPr>
          <w:p w14:paraId="7E32D014" w14:textId="450028DD" w:rsidR="00DD6970" w:rsidRPr="00CD1DFD" w:rsidRDefault="005010DA" w:rsidP="00B55F81">
            <w:pPr>
              <w:pStyle w:val="NoSpacing"/>
              <w:spacing w:line="276" w:lineRule="auto"/>
              <w:jc w:val="right"/>
              <w:rPr>
                <w:rFonts w:cs="Arial"/>
              </w:rPr>
            </w:pPr>
            <w:r>
              <w:rPr>
                <w:rFonts w:cs="Arial"/>
              </w:rPr>
              <w:t>4.272</w:t>
            </w:r>
          </w:p>
        </w:tc>
      </w:tr>
      <w:tr w:rsidR="00DD6970" w:rsidRPr="00CD1DFD" w14:paraId="464CBF30" w14:textId="77777777" w:rsidTr="00B55F81">
        <w:trPr>
          <w:trHeight w:val="541"/>
          <w:jc w:val="center"/>
        </w:trPr>
        <w:tc>
          <w:tcPr>
            <w:tcW w:w="3823" w:type="dxa"/>
            <w:vAlign w:val="center"/>
          </w:tcPr>
          <w:p w14:paraId="1B20AA9E" w14:textId="77777777" w:rsidR="00DD6970" w:rsidRPr="00CD1DFD" w:rsidRDefault="00DD6970" w:rsidP="00B55F81">
            <w:pPr>
              <w:pStyle w:val="NoSpacing"/>
              <w:spacing w:line="276" w:lineRule="auto"/>
              <w:jc w:val="both"/>
              <w:rPr>
                <w:rFonts w:cs="Arial"/>
                <w:b/>
              </w:rPr>
            </w:pPr>
            <w:r w:rsidRPr="00CD1DFD">
              <w:rPr>
                <w:rFonts w:cs="Arial"/>
                <w:b/>
              </w:rPr>
              <w:t>Total</w:t>
            </w:r>
          </w:p>
        </w:tc>
        <w:tc>
          <w:tcPr>
            <w:tcW w:w="1341" w:type="dxa"/>
            <w:vAlign w:val="center"/>
          </w:tcPr>
          <w:p w14:paraId="4F3E27AB" w14:textId="6DD4F8F8" w:rsidR="00DD6970" w:rsidRPr="007E7149" w:rsidRDefault="005010DA" w:rsidP="00B55F81">
            <w:pPr>
              <w:spacing w:line="276" w:lineRule="auto"/>
              <w:jc w:val="right"/>
              <w:rPr>
                <w:rFonts w:cs="Arial"/>
                <w:b/>
                <w:highlight w:val="yellow"/>
                <w:lang w:eastAsia="en-GB"/>
              </w:rPr>
            </w:pPr>
            <w:r>
              <w:rPr>
                <w:rFonts w:cs="Arial"/>
                <w:b/>
                <w:lang w:eastAsia="en-GB"/>
              </w:rPr>
              <w:t>180.861</w:t>
            </w:r>
          </w:p>
        </w:tc>
        <w:tc>
          <w:tcPr>
            <w:tcW w:w="1342" w:type="dxa"/>
            <w:vAlign w:val="center"/>
          </w:tcPr>
          <w:p w14:paraId="1E84B4C6" w14:textId="6DB9B0E8" w:rsidR="00DD6970" w:rsidRPr="007E7149" w:rsidRDefault="005010DA" w:rsidP="00B55F81">
            <w:pPr>
              <w:spacing w:line="276" w:lineRule="auto"/>
              <w:jc w:val="right"/>
              <w:rPr>
                <w:rFonts w:cs="Arial"/>
                <w:b/>
                <w:highlight w:val="yellow"/>
                <w:lang w:eastAsia="en-GB"/>
              </w:rPr>
            </w:pPr>
            <w:r>
              <w:rPr>
                <w:rFonts w:cs="Arial"/>
                <w:b/>
                <w:lang w:eastAsia="en-GB"/>
              </w:rPr>
              <w:t>186.141</w:t>
            </w:r>
          </w:p>
        </w:tc>
        <w:tc>
          <w:tcPr>
            <w:tcW w:w="1342" w:type="dxa"/>
            <w:vAlign w:val="center"/>
          </w:tcPr>
          <w:p w14:paraId="6417C7C0" w14:textId="1D308EB2" w:rsidR="00DD6970" w:rsidRPr="00CD1DFD" w:rsidRDefault="005010DA" w:rsidP="00B55F81">
            <w:pPr>
              <w:spacing w:line="276" w:lineRule="auto"/>
              <w:jc w:val="right"/>
              <w:rPr>
                <w:rFonts w:cs="Arial"/>
                <w:b/>
                <w:lang w:eastAsia="en-GB"/>
              </w:rPr>
            </w:pPr>
            <w:r>
              <w:rPr>
                <w:rFonts w:cs="Arial"/>
                <w:b/>
                <w:lang w:eastAsia="en-GB"/>
              </w:rPr>
              <w:t>192.038</w:t>
            </w:r>
          </w:p>
        </w:tc>
        <w:tc>
          <w:tcPr>
            <w:tcW w:w="1342" w:type="dxa"/>
            <w:vAlign w:val="center"/>
          </w:tcPr>
          <w:p w14:paraId="7F56F6F3" w14:textId="0733ADA4" w:rsidR="00DD6970" w:rsidRPr="00CD1DFD" w:rsidRDefault="005010DA" w:rsidP="00B55F81">
            <w:pPr>
              <w:spacing w:line="276" w:lineRule="auto"/>
              <w:jc w:val="right"/>
              <w:rPr>
                <w:rFonts w:cs="Arial"/>
                <w:b/>
                <w:lang w:eastAsia="en-GB"/>
              </w:rPr>
            </w:pPr>
            <w:r>
              <w:rPr>
                <w:rFonts w:cs="Arial"/>
                <w:b/>
                <w:lang w:eastAsia="en-GB"/>
              </w:rPr>
              <w:t>197.255</w:t>
            </w:r>
          </w:p>
        </w:tc>
      </w:tr>
    </w:tbl>
    <w:p w14:paraId="094F7878" w14:textId="77777777" w:rsidR="00DD6970" w:rsidRPr="001821C9" w:rsidRDefault="00DD6970" w:rsidP="00DD6970">
      <w:pPr>
        <w:spacing w:after="0"/>
        <w:rPr>
          <w:rFonts w:cs="Arial"/>
          <w:i/>
          <w:sz w:val="20"/>
          <w:szCs w:val="20"/>
        </w:rPr>
      </w:pPr>
      <w:r w:rsidRPr="001821C9">
        <w:rPr>
          <w:rFonts w:cs="Arial"/>
          <w:i/>
          <w:sz w:val="20"/>
          <w:szCs w:val="20"/>
        </w:rPr>
        <w:t>Note</w:t>
      </w:r>
      <w:r>
        <w:rPr>
          <w:rFonts w:cs="Arial"/>
          <w:i/>
          <w:sz w:val="20"/>
          <w:szCs w:val="20"/>
        </w:rPr>
        <w:t>:</w:t>
      </w:r>
      <w:r w:rsidRPr="001821C9">
        <w:rPr>
          <w:rFonts w:cs="Arial"/>
          <w:i/>
          <w:sz w:val="20"/>
          <w:szCs w:val="20"/>
        </w:rPr>
        <w:t xml:space="preserve"> 2020/21 does not form part of the indicative settlement announced by the Secretary of State.</w:t>
      </w:r>
    </w:p>
    <w:p w14:paraId="18DFEF8A" w14:textId="77777777" w:rsidR="00DD6970" w:rsidRDefault="00DD6970" w:rsidP="001821C9">
      <w:pPr>
        <w:spacing w:after="0"/>
        <w:rPr>
          <w:rFonts w:cs="Arial"/>
        </w:rPr>
      </w:pPr>
    </w:p>
    <w:p w14:paraId="781AB8C9" w14:textId="6E26A20B" w:rsidR="00A32D45" w:rsidRPr="00882976" w:rsidRDefault="00A32D45" w:rsidP="001821C9">
      <w:pPr>
        <w:spacing w:after="0"/>
        <w:rPr>
          <w:rFonts w:cs="Arial"/>
        </w:rPr>
      </w:pPr>
      <w:r w:rsidRPr="00882976">
        <w:rPr>
          <w:rFonts w:cs="Arial"/>
        </w:rPr>
        <w:t>Unless there is change in the SFA due to the economic uncertainties referred to above; the level of the top up grant between 2017/18 and 20</w:t>
      </w:r>
      <w:r w:rsidR="00B83E72" w:rsidRPr="00882976">
        <w:rPr>
          <w:rFonts w:cs="Arial"/>
        </w:rPr>
        <w:t>20/21</w:t>
      </w:r>
      <w:r w:rsidRPr="00882976">
        <w:rPr>
          <w:rFonts w:cs="Arial"/>
        </w:rPr>
        <w:t xml:space="preserve"> is the best basis </w:t>
      </w:r>
      <w:r w:rsidR="001821C9" w:rsidRPr="00882976">
        <w:rPr>
          <w:rFonts w:cs="Arial"/>
        </w:rPr>
        <w:t xml:space="preserve">of the forecast </w:t>
      </w:r>
      <w:r w:rsidRPr="00882976">
        <w:rPr>
          <w:rFonts w:cs="Arial"/>
        </w:rPr>
        <w:t xml:space="preserve">available for business rates </w:t>
      </w:r>
      <w:r w:rsidR="001821C9" w:rsidRPr="00882976">
        <w:rPr>
          <w:rFonts w:cs="Arial"/>
        </w:rPr>
        <w:t xml:space="preserve">figures </w:t>
      </w:r>
      <w:r w:rsidRPr="00882976">
        <w:rPr>
          <w:rFonts w:cs="Arial"/>
        </w:rPr>
        <w:t>in the MTFS. There is however some degree of discretion over the locally raised amounts.</w:t>
      </w:r>
    </w:p>
    <w:p w14:paraId="64CCE7C4" w14:textId="77777777" w:rsidR="00E6630C" w:rsidRPr="00882976" w:rsidRDefault="00E6630C" w:rsidP="00E6630C">
      <w:pPr>
        <w:spacing w:after="0"/>
        <w:rPr>
          <w:rFonts w:cs="Arial"/>
        </w:rPr>
      </w:pPr>
    </w:p>
    <w:p w14:paraId="30656949" w14:textId="4BAB4D63" w:rsidR="00A32D45" w:rsidRPr="00882976" w:rsidRDefault="001821C9" w:rsidP="00E6630C">
      <w:pPr>
        <w:spacing w:after="0"/>
        <w:rPr>
          <w:rFonts w:cs="Arial"/>
        </w:rPr>
      </w:pPr>
      <w:r w:rsidRPr="00882976">
        <w:rPr>
          <w:rFonts w:cs="Arial"/>
        </w:rPr>
        <w:t>It is also possible that</w:t>
      </w:r>
      <w:r w:rsidR="00A32D45" w:rsidRPr="00882976">
        <w:rPr>
          <w:rFonts w:cs="Arial"/>
        </w:rPr>
        <w:t xml:space="preserve"> </w:t>
      </w:r>
      <w:r w:rsidRPr="00882976">
        <w:rPr>
          <w:rFonts w:cs="Arial"/>
        </w:rPr>
        <w:t xml:space="preserve">business </w:t>
      </w:r>
      <w:r w:rsidR="00A32D45" w:rsidRPr="00882976">
        <w:rPr>
          <w:rFonts w:cs="Arial"/>
        </w:rPr>
        <w:t>rate income could fall</w:t>
      </w:r>
      <w:r w:rsidRPr="00882976">
        <w:rPr>
          <w:rFonts w:cs="Arial"/>
        </w:rPr>
        <w:t>, although there is a safety n</w:t>
      </w:r>
      <w:r w:rsidR="00A32D45" w:rsidRPr="00882976">
        <w:rPr>
          <w:rFonts w:cs="Arial"/>
        </w:rPr>
        <w:t xml:space="preserve">et within the business rates retention system which ensures that no authority’s income will fall by more than a set percentage of their original baseline funding level (and this level will be increased by RPI every year). The Safety Net percentage has been set at -7.5%. </w:t>
      </w:r>
    </w:p>
    <w:p w14:paraId="79A7A7E7" w14:textId="77777777" w:rsidR="001821C9" w:rsidRPr="00882976" w:rsidRDefault="001821C9" w:rsidP="00E6630C">
      <w:pPr>
        <w:spacing w:after="0"/>
        <w:rPr>
          <w:rFonts w:cs="Arial"/>
        </w:rPr>
      </w:pPr>
    </w:p>
    <w:p w14:paraId="3D84D3B6" w14:textId="74CD754C" w:rsidR="00A32D45" w:rsidRPr="00882976" w:rsidRDefault="00A32D45" w:rsidP="00E6630C">
      <w:pPr>
        <w:spacing w:after="0"/>
        <w:rPr>
          <w:rFonts w:cs="Arial"/>
        </w:rPr>
      </w:pPr>
      <w:r w:rsidRPr="00882976">
        <w:rPr>
          <w:rFonts w:cs="Arial"/>
        </w:rPr>
        <w:t>In terms of the MTFS, whether or not to add additional income is difficult to assess. There is little local information and much will depend on the general economic performance of local areas. In addition, there are valuation appeals outstanding, some of which are on large value properties.  If successful these will have a negative impact on the abi</w:t>
      </w:r>
      <w:r w:rsidR="009113C7" w:rsidRPr="00882976">
        <w:rPr>
          <w:rFonts w:cs="Arial"/>
        </w:rPr>
        <w:t>lity to generate business rates</w:t>
      </w:r>
      <w:r w:rsidRPr="00882976">
        <w:rPr>
          <w:rFonts w:cs="Arial"/>
        </w:rPr>
        <w:t>.</w:t>
      </w:r>
    </w:p>
    <w:p w14:paraId="05C499D2" w14:textId="77777777" w:rsidR="001821C9" w:rsidRPr="00882976" w:rsidRDefault="001821C9" w:rsidP="001821C9">
      <w:pPr>
        <w:spacing w:after="0"/>
        <w:rPr>
          <w:rFonts w:cs="Arial"/>
        </w:rPr>
      </w:pPr>
    </w:p>
    <w:p w14:paraId="2BBABDD1" w14:textId="2D895259" w:rsidR="00A32D45" w:rsidRPr="00882976" w:rsidRDefault="00A32D45" w:rsidP="001821C9">
      <w:pPr>
        <w:spacing w:after="0"/>
        <w:rPr>
          <w:rFonts w:cs="Arial"/>
        </w:rPr>
      </w:pPr>
      <w:r w:rsidRPr="00882976">
        <w:rPr>
          <w:rFonts w:cs="Arial"/>
        </w:rPr>
        <w:lastRenderedPageBreak/>
        <w:t>The baseline data already assumes an increase in income derived from local business rates. Therefore given the economic uncertainty</w:t>
      </w:r>
      <w:r w:rsidR="006232DD">
        <w:rPr>
          <w:rFonts w:cs="Arial"/>
        </w:rPr>
        <w:t>,</w:t>
      </w:r>
      <w:r w:rsidR="009113C7" w:rsidRPr="00882976">
        <w:rPr>
          <w:rFonts w:cs="Arial"/>
        </w:rPr>
        <w:t xml:space="preserve"> forecast income has been </w:t>
      </w:r>
      <w:r w:rsidRPr="00882976">
        <w:rPr>
          <w:rFonts w:cs="Arial"/>
        </w:rPr>
        <w:t>maintain</w:t>
      </w:r>
      <w:r w:rsidR="009113C7" w:rsidRPr="00882976">
        <w:rPr>
          <w:rFonts w:cs="Arial"/>
        </w:rPr>
        <w:t xml:space="preserve">ed at </w:t>
      </w:r>
      <w:r w:rsidRPr="00882976">
        <w:rPr>
          <w:rFonts w:cs="Arial"/>
        </w:rPr>
        <w:t xml:space="preserve">the baseline funding </w:t>
      </w:r>
      <w:r w:rsidR="009113C7" w:rsidRPr="00882976">
        <w:rPr>
          <w:rFonts w:cs="Arial"/>
        </w:rPr>
        <w:t>level</w:t>
      </w:r>
      <w:r w:rsidRPr="00882976">
        <w:rPr>
          <w:rFonts w:cs="Arial"/>
        </w:rPr>
        <w:t>.</w:t>
      </w:r>
    </w:p>
    <w:p w14:paraId="624DD25F" w14:textId="77777777" w:rsidR="001821C9" w:rsidRPr="00882976" w:rsidRDefault="001821C9" w:rsidP="001821C9">
      <w:pPr>
        <w:spacing w:after="0"/>
        <w:rPr>
          <w:rFonts w:cs="Arial"/>
        </w:rPr>
      </w:pPr>
    </w:p>
    <w:p w14:paraId="3610C674" w14:textId="2D62A870" w:rsidR="00A32D45" w:rsidRPr="00882976" w:rsidRDefault="00A32D45" w:rsidP="001821C9">
      <w:pPr>
        <w:spacing w:after="0"/>
        <w:rPr>
          <w:rFonts w:cs="Arial"/>
        </w:rPr>
      </w:pPr>
      <w:r w:rsidRPr="00882976">
        <w:rPr>
          <w:rFonts w:cs="Arial"/>
        </w:rPr>
        <w:t xml:space="preserve">In </w:t>
      </w:r>
      <w:r w:rsidR="001821C9" w:rsidRPr="00882976">
        <w:rPr>
          <w:rFonts w:cs="Arial"/>
        </w:rPr>
        <w:t xml:space="preserve">2015/16 </w:t>
      </w:r>
      <w:r w:rsidRPr="00882976">
        <w:rPr>
          <w:rFonts w:cs="Arial"/>
        </w:rPr>
        <w:t xml:space="preserve">the Government compensated authorities for the cost of a number of measures introduced by the Government. These </w:t>
      </w:r>
      <w:r w:rsidR="001821C9" w:rsidRPr="00882976">
        <w:rPr>
          <w:rFonts w:cs="Arial"/>
        </w:rPr>
        <w:t>were</w:t>
      </w:r>
      <w:r w:rsidRPr="00882976">
        <w:rPr>
          <w:rFonts w:cs="Arial"/>
        </w:rPr>
        <w:t xml:space="preserve"> the multiplier cap, the temporary doubling of small business rates relief, the temporary maintenance of small business rate relief when a second property is occupied, relief given to newly built properties whilst they are empty (herein after referred to as “new empty” property relief), relief given to long-term empty property brought into occupation (“long-term empty relief”), retail relief, flooding relief and payments made in lieu of transitional relief. Compensation is provided by means of a grant paid under Section 31 of the Local Government Act 2003 a</w:t>
      </w:r>
      <w:r w:rsidRPr="009F07EA">
        <w:rPr>
          <w:rFonts w:cs="Arial"/>
        </w:rPr>
        <w:t>nd the County Council has been notified that its S31 grant in 2016/17 is £3.992m. There is no information in respect of future years but the main elements of the grant relate to the multiplier cap and the doubling of the small business rate relief.</w:t>
      </w:r>
      <w:r w:rsidRPr="00882976">
        <w:rPr>
          <w:rFonts w:cs="Arial"/>
        </w:rPr>
        <w:t xml:space="preserve"> </w:t>
      </w:r>
    </w:p>
    <w:p w14:paraId="1335C8E1" w14:textId="77777777" w:rsidR="001821C9" w:rsidRPr="00882976" w:rsidRDefault="001821C9" w:rsidP="001821C9">
      <w:pPr>
        <w:spacing w:after="0"/>
        <w:rPr>
          <w:rFonts w:cs="Arial"/>
        </w:rPr>
      </w:pPr>
    </w:p>
    <w:p w14:paraId="2999C571" w14:textId="24FE4D4E" w:rsidR="00DE650E" w:rsidRPr="00882976" w:rsidRDefault="00A32D45" w:rsidP="001821C9">
      <w:pPr>
        <w:spacing w:after="0"/>
        <w:rPr>
          <w:rFonts w:cs="Arial"/>
        </w:rPr>
      </w:pPr>
      <w:r w:rsidRPr="009F07EA">
        <w:rPr>
          <w:rFonts w:cs="Arial"/>
        </w:rPr>
        <w:t>Assuming that the reliefs continue the impact of the multiplier cap is likely to rise with inflation as without the cap the income would have increased. Other reliefs are more likely to relate to the change in the business rate base.</w:t>
      </w:r>
      <w:r w:rsidR="008A5C96" w:rsidRPr="009F07EA">
        <w:rPr>
          <w:rFonts w:cs="Arial"/>
        </w:rPr>
        <w:t xml:space="preserve"> It has been assumed that the level of S31 grants is maintained at the current level</w:t>
      </w:r>
      <w:r w:rsidRPr="009F07EA">
        <w:rPr>
          <w:rFonts w:cs="Arial"/>
        </w:rPr>
        <w:t>.</w:t>
      </w:r>
    </w:p>
    <w:p w14:paraId="3546C3C0" w14:textId="77777777" w:rsidR="00A32D45" w:rsidRPr="00882976" w:rsidRDefault="00A32D45" w:rsidP="00A32D45">
      <w:pPr>
        <w:rPr>
          <w:rFonts w:cs="Arial"/>
        </w:rPr>
      </w:pPr>
    </w:p>
    <w:p w14:paraId="39718433" w14:textId="721E2635" w:rsidR="00DE650E" w:rsidRDefault="00A32D45" w:rsidP="005F59F9">
      <w:pPr>
        <w:spacing w:after="0"/>
        <w:rPr>
          <w:rFonts w:cs="Arial"/>
        </w:rPr>
      </w:pPr>
      <w:r w:rsidRPr="009F07EA">
        <w:rPr>
          <w:rFonts w:cs="Arial"/>
        </w:rPr>
        <w:t>The final aspect of the business rate forecast is the pooling arrangement. The 201</w:t>
      </w:r>
      <w:r w:rsidR="009F07EA" w:rsidRPr="009F07EA">
        <w:rPr>
          <w:rFonts w:cs="Arial"/>
        </w:rPr>
        <w:t>7</w:t>
      </w:r>
      <w:r w:rsidRPr="009F07EA">
        <w:rPr>
          <w:rFonts w:cs="Arial"/>
        </w:rPr>
        <w:t>/1</w:t>
      </w:r>
      <w:r w:rsidR="009F07EA" w:rsidRPr="009F07EA">
        <w:rPr>
          <w:rFonts w:cs="Arial"/>
        </w:rPr>
        <w:t>8</w:t>
      </w:r>
      <w:r w:rsidRPr="009F07EA">
        <w:rPr>
          <w:rFonts w:cs="Arial"/>
        </w:rPr>
        <w:t xml:space="preserve"> budget </w:t>
      </w:r>
      <w:r w:rsidR="009F07EA" w:rsidRPr="009F07EA">
        <w:rPr>
          <w:rFonts w:cs="Arial"/>
        </w:rPr>
        <w:t xml:space="preserve">now </w:t>
      </w:r>
      <w:r w:rsidRPr="009F07EA">
        <w:rPr>
          <w:rFonts w:cs="Arial"/>
        </w:rPr>
        <w:t>includes an additional £0.4</w:t>
      </w:r>
      <w:r w:rsidR="00D81A94" w:rsidRPr="009F07EA">
        <w:rPr>
          <w:rFonts w:cs="Arial"/>
        </w:rPr>
        <w:t>00</w:t>
      </w:r>
      <w:r w:rsidRPr="009F07EA">
        <w:rPr>
          <w:rFonts w:cs="Arial"/>
        </w:rPr>
        <w:t xml:space="preserve">m due </w:t>
      </w:r>
      <w:r w:rsidR="00E01CDC">
        <w:rPr>
          <w:rFonts w:cs="Arial"/>
        </w:rPr>
        <w:t xml:space="preserve">to the continuation of the pooling arrangement that is in place for 2016/17. This is agreed on an annual basis and </w:t>
      </w:r>
      <w:r w:rsidR="009F07EA" w:rsidRPr="009F07EA">
        <w:rPr>
          <w:rFonts w:cs="Arial"/>
        </w:rPr>
        <w:t>was not included in the previous</w:t>
      </w:r>
      <w:r w:rsidR="00E01CDC">
        <w:rPr>
          <w:rFonts w:cs="Arial"/>
        </w:rPr>
        <w:t xml:space="preserve"> MTFS reported to Cabinet as a continuation had </w:t>
      </w:r>
      <w:r w:rsidR="009F07EA" w:rsidRPr="009F07EA">
        <w:rPr>
          <w:rFonts w:cs="Arial"/>
        </w:rPr>
        <w:t xml:space="preserve">not </w:t>
      </w:r>
      <w:r w:rsidR="00E01CDC">
        <w:rPr>
          <w:rFonts w:cs="Arial"/>
        </w:rPr>
        <w:t xml:space="preserve">been </w:t>
      </w:r>
      <w:r w:rsidR="009F07EA" w:rsidRPr="009F07EA">
        <w:rPr>
          <w:rFonts w:cs="Arial"/>
        </w:rPr>
        <w:t>confirmed at that point.</w:t>
      </w:r>
      <w:r w:rsidRPr="009F07EA">
        <w:rPr>
          <w:rFonts w:cs="Arial"/>
        </w:rPr>
        <w:t xml:space="preserve"> The pool is a one year arrangement</w:t>
      </w:r>
      <w:r w:rsidR="009F07EA" w:rsidRPr="009F07EA">
        <w:rPr>
          <w:rFonts w:cs="Arial"/>
        </w:rPr>
        <w:t>, therefore the additional income has not been included past 2017/18</w:t>
      </w:r>
      <w:r w:rsidRPr="009F07EA">
        <w:rPr>
          <w:rFonts w:cs="Arial"/>
        </w:rPr>
        <w:t xml:space="preserve">. </w:t>
      </w:r>
    </w:p>
    <w:p w14:paraId="10D4A862" w14:textId="77777777" w:rsidR="00B92491" w:rsidRDefault="00B92491" w:rsidP="005F59F9">
      <w:pPr>
        <w:spacing w:after="0"/>
        <w:rPr>
          <w:rFonts w:cs="Arial"/>
        </w:rPr>
      </w:pPr>
    </w:p>
    <w:p w14:paraId="494C83BA" w14:textId="4E4C799B" w:rsidR="00B92491" w:rsidRDefault="00B92491" w:rsidP="005F59F9">
      <w:pPr>
        <w:spacing w:after="0"/>
        <w:rPr>
          <w:rFonts w:cs="Arial"/>
        </w:rPr>
      </w:pPr>
      <w:r>
        <w:rPr>
          <w:rFonts w:cs="Arial"/>
        </w:rPr>
        <w:t>The impact of changes are as follows:</w:t>
      </w:r>
    </w:p>
    <w:p w14:paraId="5052AC28" w14:textId="77777777" w:rsidR="00E01CDC" w:rsidRDefault="00E01CDC" w:rsidP="005F59F9">
      <w:pPr>
        <w:spacing w:after="0"/>
        <w:rPr>
          <w:rFonts w:cs="Arial"/>
        </w:rPr>
      </w:pPr>
    </w:p>
    <w:tbl>
      <w:tblPr>
        <w:tblStyle w:val="TableGrid"/>
        <w:tblW w:w="0" w:type="auto"/>
        <w:tblLook w:val="04A0" w:firstRow="1" w:lastRow="0" w:firstColumn="1" w:lastColumn="0" w:noHBand="0" w:noVBand="1"/>
      </w:tblPr>
      <w:tblGrid>
        <w:gridCol w:w="3256"/>
        <w:gridCol w:w="1440"/>
        <w:gridCol w:w="1440"/>
        <w:gridCol w:w="1440"/>
        <w:gridCol w:w="1440"/>
      </w:tblGrid>
      <w:tr w:rsidR="00B92491" w:rsidRPr="00CD1DFD" w14:paraId="4630EE81" w14:textId="77777777" w:rsidTr="00B55F81">
        <w:tc>
          <w:tcPr>
            <w:tcW w:w="3256" w:type="dxa"/>
            <w:tcBorders>
              <w:bottom w:val="nil"/>
            </w:tcBorders>
            <w:shd w:val="clear" w:color="auto" w:fill="A6A6A6" w:themeFill="background1" w:themeFillShade="A6"/>
          </w:tcPr>
          <w:p w14:paraId="752F4195" w14:textId="77777777" w:rsidR="00B92491" w:rsidRPr="00CD1DFD" w:rsidRDefault="00B92491" w:rsidP="00B55F81">
            <w:pPr>
              <w:rPr>
                <w:rFonts w:cs="Arial"/>
              </w:rPr>
            </w:pPr>
          </w:p>
        </w:tc>
        <w:tc>
          <w:tcPr>
            <w:tcW w:w="1440" w:type="dxa"/>
            <w:tcBorders>
              <w:bottom w:val="nil"/>
            </w:tcBorders>
            <w:shd w:val="clear" w:color="auto" w:fill="A6A6A6" w:themeFill="background1" w:themeFillShade="A6"/>
          </w:tcPr>
          <w:p w14:paraId="30F3DAC7" w14:textId="77777777" w:rsidR="00B92491" w:rsidRPr="00CD1DFD" w:rsidRDefault="00B92491" w:rsidP="00B55F81">
            <w:pPr>
              <w:jc w:val="center"/>
              <w:rPr>
                <w:rFonts w:cs="Arial"/>
                <w:b/>
              </w:rPr>
            </w:pPr>
            <w:r w:rsidRPr="00CD1DFD">
              <w:rPr>
                <w:rFonts w:cs="Arial"/>
                <w:b/>
              </w:rPr>
              <w:t>2017/18</w:t>
            </w:r>
          </w:p>
        </w:tc>
        <w:tc>
          <w:tcPr>
            <w:tcW w:w="1440" w:type="dxa"/>
            <w:tcBorders>
              <w:bottom w:val="nil"/>
            </w:tcBorders>
            <w:shd w:val="clear" w:color="auto" w:fill="A6A6A6" w:themeFill="background1" w:themeFillShade="A6"/>
          </w:tcPr>
          <w:p w14:paraId="161CE2A1" w14:textId="77777777" w:rsidR="00B92491" w:rsidRPr="00CD1DFD" w:rsidRDefault="00B92491" w:rsidP="00B55F81">
            <w:pPr>
              <w:jc w:val="center"/>
              <w:rPr>
                <w:rFonts w:cs="Arial"/>
                <w:b/>
              </w:rPr>
            </w:pPr>
            <w:r w:rsidRPr="00CD1DFD">
              <w:rPr>
                <w:rFonts w:cs="Arial"/>
                <w:b/>
              </w:rPr>
              <w:t>2018/19</w:t>
            </w:r>
          </w:p>
        </w:tc>
        <w:tc>
          <w:tcPr>
            <w:tcW w:w="1440" w:type="dxa"/>
            <w:tcBorders>
              <w:bottom w:val="nil"/>
            </w:tcBorders>
            <w:shd w:val="clear" w:color="auto" w:fill="A6A6A6" w:themeFill="background1" w:themeFillShade="A6"/>
          </w:tcPr>
          <w:p w14:paraId="6D2F0843" w14:textId="77777777" w:rsidR="00B92491" w:rsidRPr="00CD1DFD" w:rsidRDefault="00B92491" w:rsidP="00B55F81">
            <w:pPr>
              <w:jc w:val="center"/>
              <w:rPr>
                <w:rFonts w:cs="Arial"/>
                <w:b/>
              </w:rPr>
            </w:pPr>
            <w:r w:rsidRPr="00CD1DFD">
              <w:rPr>
                <w:rFonts w:cs="Arial"/>
                <w:b/>
              </w:rPr>
              <w:t>2019/20</w:t>
            </w:r>
          </w:p>
        </w:tc>
        <w:tc>
          <w:tcPr>
            <w:tcW w:w="1440" w:type="dxa"/>
            <w:tcBorders>
              <w:bottom w:val="nil"/>
            </w:tcBorders>
            <w:shd w:val="clear" w:color="auto" w:fill="A6A6A6" w:themeFill="background1" w:themeFillShade="A6"/>
          </w:tcPr>
          <w:p w14:paraId="405CE102" w14:textId="77777777" w:rsidR="00B92491" w:rsidRPr="00CD1DFD" w:rsidRDefault="00B92491" w:rsidP="00B55F81">
            <w:pPr>
              <w:jc w:val="center"/>
              <w:rPr>
                <w:rFonts w:cs="Arial"/>
                <w:b/>
              </w:rPr>
            </w:pPr>
            <w:r w:rsidRPr="00CD1DFD">
              <w:rPr>
                <w:rFonts w:cs="Arial"/>
                <w:b/>
              </w:rPr>
              <w:t>2020/21</w:t>
            </w:r>
          </w:p>
        </w:tc>
      </w:tr>
      <w:tr w:rsidR="00B92491" w:rsidRPr="00CD1DFD" w14:paraId="37A9A7F5" w14:textId="77777777" w:rsidTr="00B55F81">
        <w:tc>
          <w:tcPr>
            <w:tcW w:w="3256" w:type="dxa"/>
            <w:tcBorders>
              <w:top w:val="nil"/>
            </w:tcBorders>
            <w:shd w:val="clear" w:color="auto" w:fill="A6A6A6" w:themeFill="background1" w:themeFillShade="A6"/>
          </w:tcPr>
          <w:p w14:paraId="5E3AB077" w14:textId="77777777" w:rsidR="00B92491" w:rsidRPr="00CD1DFD" w:rsidRDefault="00B92491" w:rsidP="00B55F81">
            <w:pPr>
              <w:rPr>
                <w:rFonts w:cs="Arial"/>
              </w:rPr>
            </w:pPr>
          </w:p>
        </w:tc>
        <w:tc>
          <w:tcPr>
            <w:tcW w:w="1440" w:type="dxa"/>
            <w:tcBorders>
              <w:top w:val="nil"/>
            </w:tcBorders>
            <w:shd w:val="clear" w:color="auto" w:fill="A6A6A6" w:themeFill="background1" w:themeFillShade="A6"/>
          </w:tcPr>
          <w:p w14:paraId="0C90AAC3" w14:textId="77777777" w:rsidR="00B92491" w:rsidRPr="00CD1DFD" w:rsidRDefault="00B92491"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24F3B30A" w14:textId="77777777" w:rsidR="00B92491" w:rsidRPr="00CD1DFD" w:rsidRDefault="00B92491"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342842F3" w14:textId="77777777" w:rsidR="00B92491" w:rsidRPr="00CD1DFD" w:rsidRDefault="00B92491"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079D4696" w14:textId="77777777" w:rsidR="00B92491" w:rsidRPr="00CD1DFD" w:rsidRDefault="00B92491" w:rsidP="00B55F81">
            <w:pPr>
              <w:jc w:val="center"/>
              <w:rPr>
                <w:rFonts w:cs="Arial"/>
                <w:b/>
              </w:rPr>
            </w:pPr>
            <w:r w:rsidRPr="00CD1DFD">
              <w:rPr>
                <w:rFonts w:cs="Arial"/>
                <w:b/>
              </w:rPr>
              <w:t>£m</w:t>
            </w:r>
          </w:p>
        </w:tc>
      </w:tr>
      <w:tr w:rsidR="00B92491" w:rsidRPr="00CD1DFD" w14:paraId="3D5DD89D" w14:textId="77777777" w:rsidTr="00B55F81">
        <w:tc>
          <w:tcPr>
            <w:tcW w:w="3256" w:type="dxa"/>
          </w:tcPr>
          <w:p w14:paraId="029D3614" w14:textId="77777777" w:rsidR="00B92491" w:rsidRPr="00CD1DFD" w:rsidRDefault="00B92491" w:rsidP="00B55F81">
            <w:pPr>
              <w:rPr>
                <w:rFonts w:cs="Arial"/>
              </w:rPr>
            </w:pPr>
            <w:r w:rsidRPr="00CD1DFD">
              <w:rPr>
                <w:rFonts w:cs="Arial"/>
              </w:rPr>
              <w:t xml:space="preserve">Increase in income </w:t>
            </w:r>
          </w:p>
        </w:tc>
        <w:tc>
          <w:tcPr>
            <w:tcW w:w="1440" w:type="dxa"/>
          </w:tcPr>
          <w:p w14:paraId="64304919" w14:textId="3EA5D9C2" w:rsidR="00B92491" w:rsidRPr="00CD1DFD" w:rsidRDefault="00B92491" w:rsidP="00B55F81">
            <w:pPr>
              <w:jc w:val="right"/>
              <w:rPr>
                <w:rFonts w:cs="Arial"/>
              </w:rPr>
            </w:pPr>
            <w:r>
              <w:rPr>
                <w:rFonts w:cs="Arial"/>
              </w:rPr>
              <w:t>0.</w:t>
            </w:r>
            <w:r w:rsidR="001F07B2">
              <w:rPr>
                <w:rFonts w:cs="Arial"/>
              </w:rPr>
              <w:t>5</w:t>
            </w:r>
            <w:r>
              <w:rPr>
                <w:rFonts w:cs="Arial"/>
              </w:rPr>
              <w:t>30</w:t>
            </w:r>
          </w:p>
        </w:tc>
        <w:tc>
          <w:tcPr>
            <w:tcW w:w="1440" w:type="dxa"/>
          </w:tcPr>
          <w:p w14:paraId="2B7127E4" w14:textId="15166D6B" w:rsidR="00B92491" w:rsidRPr="00CD1DFD" w:rsidRDefault="00607507" w:rsidP="00F2752F">
            <w:pPr>
              <w:jc w:val="right"/>
              <w:rPr>
                <w:rFonts w:cs="Arial"/>
              </w:rPr>
            </w:pPr>
            <w:r>
              <w:rPr>
                <w:rFonts w:cs="Arial"/>
              </w:rPr>
              <w:t>0.606</w:t>
            </w:r>
          </w:p>
        </w:tc>
        <w:tc>
          <w:tcPr>
            <w:tcW w:w="1440" w:type="dxa"/>
          </w:tcPr>
          <w:p w14:paraId="2F141E36" w14:textId="3AC073C1" w:rsidR="00B92491" w:rsidRPr="00CD1DFD" w:rsidRDefault="00F2752F" w:rsidP="00B55F81">
            <w:pPr>
              <w:jc w:val="right"/>
              <w:rPr>
                <w:rFonts w:cs="Arial"/>
              </w:rPr>
            </w:pPr>
            <w:r>
              <w:rPr>
                <w:rFonts w:cs="Arial"/>
              </w:rPr>
              <w:t>1.285</w:t>
            </w:r>
          </w:p>
        </w:tc>
        <w:tc>
          <w:tcPr>
            <w:tcW w:w="1440" w:type="dxa"/>
          </w:tcPr>
          <w:p w14:paraId="31D7C2ED" w14:textId="358CEABC" w:rsidR="00B92491" w:rsidRPr="00CD1DFD" w:rsidRDefault="00B92491" w:rsidP="00B92491">
            <w:pPr>
              <w:jc w:val="right"/>
              <w:rPr>
                <w:rFonts w:cs="Arial"/>
              </w:rPr>
            </w:pPr>
            <w:r>
              <w:rPr>
                <w:rFonts w:cs="Arial"/>
              </w:rPr>
              <w:t>1.285</w:t>
            </w:r>
          </w:p>
        </w:tc>
      </w:tr>
      <w:tr w:rsidR="00B92491" w:rsidRPr="00B92491" w14:paraId="1B2149F7" w14:textId="77777777" w:rsidTr="00B55F81">
        <w:tc>
          <w:tcPr>
            <w:tcW w:w="3256" w:type="dxa"/>
          </w:tcPr>
          <w:p w14:paraId="544BC2B2" w14:textId="77777777" w:rsidR="00B92491" w:rsidRPr="00B92491" w:rsidRDefault="00B92491" w:rsidP="00B55F81">
            <w:pPr>
              <w:rPr>
                <w:rFonts w:cs="Arial"/>
                <w:b/>
              </w:rPr>
            </w:pPr>
            <w:r w:rsidRPr="00B92491">
              <w:rPr>
                <w:rFonts w:cs="Arial"/>
                <w:b/>
              </w:rPr>
              <w:t>Impact on Funding Gap</w:t>
            </w:r>
          </w:p>
        </w:tc>
        <w:tc>
          <w:tcPr>
            <w:tcW w:w="1440" w:type="dxa"/>
          </w:tcPr>
          <w:p w14:paraId="79790153" w14:textId="6981D840" w:rsidR="00B92491" w:rsidRPr="00B92491" w:rsidRDefault="00247F92" w:rsidP="00B55F81">
            <w:pPr>
              <w:jc w:val="right"/>
              <w:rPr>
                <w:rFonts w:cs="Arial"/>
                <w:b/>
              </w:rPr>
            </w:pPr>
            <w:r>
              <w:rPr>
                <w:rFonts w:cs="Arial"/>
                <w:b/>
              </w:rPr>
              <w:t>-</w:t>
            </w:r>
            <w:r w:rsidR="001F07B2">
              <w:rPr>
                <w:rFonts w:cs="Arial"/>
                <w:b/>
              </w:rPr>
              <w:t>0.5</w:t>
            </w:r>
            <w:r w:rsidR="00B92491" w:rsidRPr="00B92491">
              <w:rPr>
                <w:rFonts w:cs="Arial"/>
                <w:b/>
              </w:rPr>
              <w:t>30</w:t>
            </w:r>
          </w:p>
        </w:tc>
        <w:tc>
          <w:tcPr>
            <w:tcW w:w="1440" w:type="dxa"/>
          </w:tcPr>
          <w:p w14:paraId="3234C51D" w14:textId="3551F1C8" w:rsidR="00B92491" w:rsidRPr="00B92491" w:rsidRDefault="00247F92" w:rsidP="00F2752F">
            <w:pPr>
              <w:jc w:val="right"/>
              <w:rPr>
                <w:rFonts w:cs="Arial"/>
                <w:b/>
              </w:rPr>
            </w:pPr>
            <w:r>
              <w:rPr>
                <w:rFonts w:cs="Arial"/>
                <w:b/>
              </w:rPr>
              <w:t>-</w:t>
            </w:r>
            <w:r w:rsidR="00F2752F">
              <w:rPr>
                <w:rFonts w:cs="Arial"/>
                <w:b/>
              </w:rPr>
              <w:t>0.076</w:t>
            </w:r>
          </w:p>
        </w:tc>
        <w:tc>
          <w:tcPr>
            <w:tcW w:w="1440" w:type="dxa"/>
          </w:tcPr>
          <w:p w14:paraId="2D7ABC08" w14:textId="23B55A07" w:rsidR="00B92491" w:rsidRPr="00B92491" w:rsidRDefault="00247F92" w:rsidP="00B55F81">
            <w:pPr>
              <w:jc w:val="right"/>
              <w:rPr>
                <w:rFonts w:cs="Arial"/>
                <w:b/>
              </w:rPr>
            </w:pPr>
            <w:r>
              <w:rPr>
                <w:rFonts w:cs="Arial"/>
                <w:b/>
              </w:rPr>
              <w:t>-</w:t>
            </w:r>
            <w:r w:rsidR="00F2752F">
              <w:rPr>
                <w:rFonts w:cs="Arial"/>
                <w:b/>
              </w:rPr>
              <w:t>0.679</w:t>
            </w:r>
          </w:p>
        </w:tc>
        <w:tc>
          <w:tcPr>
            <w:tcW w:w="1440" w:type="dxa"/>
          </w:tcPr>
          <w:p w14:paraId="588C5838" w14:textId="4B421038" w:rsidR="00B92491" w:rsidRPr="00B92491" w:rsidRDefault="00B92491" w:rsidP="00B55F81">
            <w:pPr>
              <w:jc w:val="right"/>
              <w:rPr>
                <w:rFonts w:cs="Arial"/>
                <w:b/>
              </w:rPr>
            </w:pPr>
            <w:r w:rsidRPr="00B92491">
              <w:rPr>
                <w:rFonts w:cs="Arial"/>
                <w:b/>
              </w:rPr>
              <w:t>0.000</w:t>
            </w:r>
          </w:p>
        </w:tc>
      </w:tr>
    </w:tbl>
    <w:p w14:paraId="66E205B3" w14:textId="77777777" w:rsidR="00B92491" w:rsidRDefault="00B92491" w:rsidP="005F59F9">
      <w:pPr>
        <w:spacing w:after="0"/>
        <w:rPr>
          <w:rFonts w:cs="Arial"/>
        </w:rPr>
      </w:pPr>
    </w:p>
    <w:p w14:paraId="7AAB0AD6" w14:textId="77777777" w:rsidR="00A32D45" w:rsidRPr="00882976" w:rsidRDefault="00A32D45" w:rsidP="005F59F9">
      <w:pPr>
        <w:spacing w:after="0"/>
        <w:rPr>
          <w:rFonts w:cs="Arial"/>
          <w:b/>
          <w:u w:val="single"/>
        </w:rPr>
      </w:pPr>
      <w:r w:rsidRPr="00882976">
        <w:rPr>
          <w:rFonts w:cs="Arial"/>
          <w:b/>
          <w:u w:val="single"/>
        </w:rPr>
        <w:t>Council Tax</w:t>
      </w:r>
    </w:p>
    <w:p w14:paraId="42854D60" w14:textId="77777777" w:rsidR="008676D4" w:rsidRPr="00882976" w:rsidRDefault="008676D4" w:rsidP="008676D4">
      <w:pPr>
        <w:spacing w:after="0"/>
        <w:rPr>
          <w:rFonts w:cs="Arial"/>
          <w:b/>
          <w:u w:val="single"/>
        </w:rPr>
      </w:pPr>
    </w:p>
    <w:p w14:paraId="1047B6DC" w14:textId="55B4D703" w:rsidR="003F76DE" w:rsidRPr="00882976" w:rsidRDefault="00B83E72" w:rsidP="003F76DE">
      <w:pPr>
        <w:spacing w:after="0"/>
        <w:rPr>
          <w:rFonts w:cs="Arial"/>
        </w:rPr>
      </w:pPr>
      <w:r w:rsidRPr="00882976">
        <w:rPr>
          <w:rFonts w:cs="Arial"/>
        </w:rPr>
        <w:t xml:space="preserve">The MTFS presented to Cabinet in </w:t>
      </w:r>
      <w:r w:rsidR="00B3578F">
        <w:rPr>
          <w:rFonts w:cs="Arial"/>
        </w:rPr>
        <w:t>December</w:t>
      </w:r>
      <w:r w:rsidRPr="00882976">
        <w:rPr>
          <w:rFonts w:cs="Arial"/>
        </w:rPr>
        <w:t xml:space="preserve"> included the ass</w:t>
      </w:r>
      <w:r w:rsidR="008A5C96" w:rsidRPr="00882976">
        <w:rPr>
          <w:rFonts w:cs="Arial"/>
        </w:rPr>
        <w:t>umption that</w:t>
      </w:r>
      <w:r w:rsidR="003F76DE" w:rsidRPr="00882976">
        <w:rPr>
          <w:rFonts w:cs="Arial"/>
        </w:rPr>
        <w:t xml:space="preserve"> Council Tax w</w:t>
      </w:r>
      <w:r w:rsidR="00B3578F">
        <w:rPr>
          <w:rFonts w:cs="Arial"/>
        </w:rPr>
        <w:t>ould increase by 3.99% per annum</w:t>
      </w:r>
      <w:r w:rsidR="003F76DE" w:rsidRPr="00882976">
        <w:rPr>
          <w:rFonts w:cs="Arial"/>
        </w:rPr>
        <w:t xml:space="preserve"> which is the current referendum limit; although </w:t>
      </w:r>
      <w:r w:rsidR="00B3578F">
        <w:rPr>
          <w:rFonts w:cs="Arial"/>
        </w:rPr>
        <w:t>at that time it was</w:t>
      </w:r>
      <w:r w:rsidR="00FF0AF7">
        <w:rPr>
          <w:rFonts w:cs="Arial"/>
        </w:rPr>
        <w:t xml:space="preserve"> important to note that this had</w:t>
      </w:r>
      <w:r w:rsidR="003F76DE" w:rsidRPr="00882976">
        <w:rPr>
          <w:rFonts w:cs="Arial"/>
        </w:rPr>
        <w:t xml:space="preserve"> not been confirmed for future years. </w:t>
      </w:r>
    </w:p>
    <w:p w14:paraId="2A3EC61A" w14:textId="77777777" w:rsidR="003F76DE" w:rsidRPr="00882976" w:rsidRDefault="003F76DE" w:rsidP="003F76DE">
      <w:pPr>
        <w:spacing w:after="0"/>
        <w:rPr>
          <w:rFonts w:cs="Arial"/>
        </w:rPr>
      </w:pPr>
    </w:p>
    <w:p w14:paraId="4542A56B" w14:textId="6D380652" w:rsidR="003F76DE" w:rsidRPr="00882976" w:rsidRDefault="003F76DE" w:rsidP="003F76DE">
      <w:pPr>
        <w:spacing w:after="0"/>
        <w:rPr>
          <w:rFonts w:cs="Arial"/>
        </w:rPr>
      </w:pPr>
      <w:r w:rsidRPr="00882976">
        <w:rPr>
          <w:rFonts w:cs="Arial"/>
        </w:rPr>
        <w:t xml:space="preserve">The MTFS </w:t>
      </w:r>
      <w:r w:rsidR="00DE650E" w:rsidRPr="00882976">
        <w:rPr>
          <w:rFonts w:cs="Arial"/>
        </w:rPr>
        <w:t xml:space="preserve">last presented to Cabinet </w:t>
      </w:r>
      <w:r w:rsidR="00B83E72" w:rsidRPr="00882976">
        <w:rPr>
          <w:rFonts w:cs="Arial"/>
        </w:rPr>
        <w:t xml:space="preserve">also </w:t>
      </w:r>
      <w:r w:rsidR="00DE650E" w:rsidRPr="00882976">
        <w:rPr>
          <w:rFonts w:cs="Arial"/>
        </w:rPr>
        <w:t>assumed</w:t>
      </w:r>
      <w:r w:rsidR="00FF0AF7">
        <w:rPr>
          <w:rFonts w:cs="Arial"/>
        </w:rPr>
        <w:t xml:space="preserve"> an</w:t>
      </w:r>
      <w:r w:rsidRPr="00882976">
        <w:rPr>
          <w:rFonts w:cs="Arial"/>
        </w:rPr>
        <w:t xml:space="preserve"> </w:t>
      </w:r>
      <w:r w:rsidR="00B83E72" w:rsidRPr="00882976">
        <w:rPr>
          <w:rFonts w:cs="Arial"/>
        </w:rPr>
        <w:t>increase</w:t>
      </w:r>
      <w:r w:rsidR="00FF0AF7">
        <w:rPr>
          <w:rFonts w:cs="Arial"/>
        </w:rPr>
        <w:t xml:space="preserve"> to the tax base year on year of</w:t>
      </w:r>
      <w:r w:rsidR="00B83E72" w:rsidRPr="00882976">
        <w:rPr>
          <w:rFonts w:cs="Arial"/>
        </w:rPr>
        <w:t xml:space="preserve"> 1%, as this level of growth would seem to be reasonable given the economy is growing, and also with the City Deal impacting on the number of households that will be paying Council Tax. </w:t>
      </w:r>
    </w:p>
    <w:p w14:paraId="3999ED0A" w14:textId="77777777" w:rsidR="00B3578F" w:rsidRDefault="00B3578F" w:rsidP="00B3578F">
      <w:pPr>
        <w:spacing w:after="0"/>
        <w:rPr>
          <w:rFonts w:cs="Arial"/>
        </w:rPr>
      </w:pPr>
    </w:p>
    <w:p w14:paraId="629B7145" w14:textId="763F509F" w:rsidR="00FF0AF7" w:rsidRDefault="00B3578F" w:rsidP="00E52BF2">
      <w:pPr>
        <w:spacing w:after="0"/>
        <w:rPr>
          <w:rFonts w:cs="Arial"/>
        </w:rPr>
      </w:pPr>
      <w:r>
        <w:rPr>
          <w:rFonts w:cs="Arial"/>
        </w:rPr>
        <w:lastRenderedPageBreak/>
        <w:t>In the provisional settlement issued on 15</w:t>
      </w:r>
      <w:r w:rsidRPr="00B3578F">
        <w:rPr>
          <w:rFonts w:cs="Arial"/>
          <w:vertAlign w:val="superscript"/>
        </w:rPr>
        <w:t>th</w:t>
      </w:r>
      <w:r>
        <w:rPr>
          <w:rFonts w:cs="Arial"/>
        </w:rPr>
        <w:t xml:space="preserve"> December 2016 one of the significant changes confirmed by the Secretary of State was in relation to the referendum limit for the Adult Social Care Precept. When it was introduced in 2016/17 the limit was a 2% increase. However, in recognition of the pressures facing Local Authorities respon</w:t>
      </w:r>
      <w:r w:rsidR="00E52BF2">
        <w:rPr>
          <w:rFonts w:cs="Arial"/>
        </w:rPr>
        <w:t xml:space="preserve">sible for Adult Social Care it was announced that Local Authorities could bring forward the additional precept </w:t>
      </w:r>
      <w:r w:rsidR="00FF0AF7">
        <w:rPr>
          <w:rFonts w:cs="Arial"/>
        </w:rPr>
        <w:t xml:space="preserve">(with </w:t>
      </w:r>
      <w:r w:rsidR="007D06DE">
        <w:rPr>
          <w:rFonts w:cs="Arial"/>
        </w:rPr>
        <w:t xml:space="preserve">a cap of 3% rather than </w:t>
      </w:r>
      <w:r w:rsidR="00FF0AF7">
        <w:rPr>
          <w:rFonts w:cs="Arial"/>
        </w:rPr>
        <w:t xml:space="preserve">2% </w:t>
      </w:r>
      <w:r w:rsidR="007D06DE">
        <w:rPr>
          <w:rFonts w:cs="Arial"/>
        </w:rPr>
        <w:t>each</w:t>
      </w:r>
      <w:r w:rsidR="00FF0AF7">
        <w:rPr>
          <w:rFonts w:cs="Arial"/>
        </w:rPr>
        <w:t xml:space="preserve"> year) but could </w:t>
      </w:r>
      <w:r w:rsidR="007D06DE">
        <w:rPr>
          <w:rFonts w:cs="Arial"/>
        </w:rPr>
        <w:t xml:space="preserve">still </w:t>
      </w:r>
      <w:r w:rsidR="00FF0AF7">
        <w:rPr>
          <w:rFonts w:cs="Arial"/>
        </w:rPr>
        <w:t>only increase Council Tax by</w:t>
      </w:r>
      <w:r w:rsidR="007D06DE">
        <w:rPr>
          <w:rFonts w:cs="Arial"/>
        </w:rPr>
        <w:t xml:space="preserve"> a maximum </w:t>
      </w:r>
      <w:proofErr w:type="gramStart"/>
      <w:r w:rsidR="007D06DE">
        <w:rPr>
          <w:rFonts w:cs="Arial"/>
        </w:rPr>
        <w:t xml:space="preserve">of </w:t>
      </w:r>
      <w:r w:rsidR="00FF0AF7">
        <w:rPr>
          <w:rFonts w:cs="Arial"/>
        </w:rPr>
        <w:t xml:space="preserve"> 6</w:t>
      </w:r>
      <w:proofErr w:type="gramEnd"/>
      <w:r w:rsidR="00FF0AF7">
        <w:rPr>
          <w:rFonts w:cs="Arial"/>
        </w:rPr>
        <w:t xml:space="preserve">% over the financial years 2017/18 – 2019/20. The settlement also announced that there would be no Adult Social Care Precept in 2020/21. </w:t>
      </w:r>
      <w:r>
        <w:rPr>
          <w:rFonts w:cs="Arial"/>
        </w:rPr>
        <w:t xml:space="preserve"> </w:t>
      </w:r>
    </w:p>
    <w:p w14:paraId="1367AD99" w14:textId="77777777" w:rsidR="00FF0AF7" w:rsidRDefault="00FF0AF7" w:rsidP="00E52BF2">
      <w:pPr>
        <w:spacing w:after="0"/>
        <w:rPr>
          <w:rFonts w:cs="Arial"/>
        </w:rPr>
      </w:pPr>
    </w:p>
    <w:p w14:paraId="0B7B8959" w14:textId="46A4A982" w:rsidR="00FF0AF7" w:rsidRDefault="004F2D24" w:rsidP="00E52BF2">
      <w:pPr>
        <w:spacing w:after="0"/>
        <w:rPr>
          <w:rFonts w:cs="Arial"/>
        </w:rPr>
      </w:pPr>
      <w:r>
        <w:rPr>
          <w:rFonts w:cs="Arial"/>
        </w:rPr>
        <w:t xml:space="preserve">On reviewing the flexibility given by the secretary of state the impact </w:t>
      </w:r>
      <w:r w:rsidR="00DD5DD5">
        <w:rPr>
          <w:rFonts w:cs="Arial"/>
        </w:rPr>
        <w:t xml:space="preserve">is minimal </w:t>
      </w:r>
      <w:r>
        <w:rPr>
          <w:rFonts w:cs="Arial"/>
        </w:rPr>
        <w:t xml:space="preserve">on the </w:t>
      </w:r>
      <w:r w:rsidR="00DD5DD5">
        <w:rPr>
          <w:rFonts w:cs="Arial"/>
        </w:rPr>
        <w:t>impact on the financial gap</w:t>
      </w:r>
      <w:r>
        <w:rPr>
          <w:rFonts w:cs="Arial"/>
        </w:rPr>
        <w:t xml:space="preserve"> </w:t>
      </w:r>
      <w:r w:rsidR="00DD5DD5">
        <w:rPr>
          <w:rFonts w:cs="Arial"/>
        </w:rPr>
        <w:t>over the 4 years despite the different levels of increases available in in each year</w:t>
      </w:r>
      <w:r>
        <w:rPr>
          <w:rFonts w:cs="Arial"/>
        </w:rPr>
        <w:t>:</w:t>
      </w:r>
    </w:p>
    <w:p w14:paraId="5AE086E5" w14:textId="77777777" w:rsidR="001A059C" w:rsidRDefault="001A059C" w:rsidP="00E52BF2">
      <w:pPr>
        <w:spacing w:after="0"/>
        <w:rPr>
          <w:rFonts w:cs="Arial"/>
        </w:rPr>
      </w:pPr>
    </w:p>
    <w:tbl>
      <w:tblPr>
        <w:tblStyle w:val="TableGrid"/>
        <w:tblW w:w="10060" w:type="dxa"/>
        <w:tblLook w:val="04A0" w:firstRow="1" w:lastRow="0" w:firstColumn="1" w:lastColumn="0" w:noHBand="0" w:noVBand="1"/>
      </w:tblPr>
      <w:tblGrid>
        <w:gridCol w:w="3708"/>
        <w:gridCol w:w="1394"/>
        <w:gridCol w:w="1130"/>
        <w:gridCol w:w="1130"/>
        <w:gridCol w:w="1130"/>
        <w:gridCol w:w="284"/>
        <w:gridCol w:w="1284"/>
      </w:tblGrid>
      <w:tr w:rsidR="001A059C" w:rsidRPr="00CD1DFD" w14:paraId="53B65F7F" w14:textId="48C6E47E" w:rsidTr="001A059C">
        <w:tc>
          <w:tcPr>
            <w:tcW w:w="3823" w:type="dxa"/>
            <w:tcBorders>
              <w:bottom w:val="nil"/>
            </w:tcBorders>
            <w:shd w:val="clear" w:color="auto" w:fill="A6A6A6" w:themeFill="background1" w:themeFillShade="A6"/>
          </w:tcPr>
          <w:p w14:paraId="121D6157" w14:textId="77777777" w:rsidR="001A059C" w:rsidRPr="00CD1DFD" w:rsidRDefault="001A059C" w:rsidP="004C3633">
            <w:pPr>
              <w:rPr>
                <w:rFonts w:cs="Arial"/>
              </w:rPr>
            </w:pPr>
          </w:p>
        </w:tc>
        <w:tc>
          <w:tcPr>
            <w:tcW w:w="1417" w:type="dxa"/>
            <w:tcBorders>
              <w:bottom w:val="nil"/>
            </w:tcBorders>
            <w:shd w:val="clear" w:color="auto" w:fill="A6A6A6" w:themeFill="background1" w:themeFillShade="A6"/>
          </w:tcPr>
          <w:p w14:paraId="0C2C0ADE" w14:textId="77777777" w:rsidR="001A059C" w:rsidRPr="00CD1DFD" w:rsidRDefault="001A059C" w:rsidP="004C3633">
            <w:pPr>
              <w:jc w:val="center"/>
              <w:rPr>
                <w:rFonts w:cs="Arial"/>
                <w:b/>
              </w:rPr>
            </w:pPr>
            <w:r w:rsidRPr="00CD1DFD">
              <w:rPr>
                <w:rFonts w:cs="Arial"/>
                <w:b/>
              </w:rPr>
              <w:t>2017/18</w:t>
            </w:r>
          </w:p>
        </w:tc>
        <w:tc>
          <w:tcPr>
            <w:tcW w:w="1134" w:type="dxa"/>
            <w:tcBorders>
              <w:bottom w:val="nil"/>
            </w:tcBorders>
            <w:shd w:val="clear" w:color="auto" w:fill="A6A6A6" w:themeFill="background1" w:themeFillShade="A6"/>
          </w:tcPr>
          <w:p w14:paraId="10A9AC56" w14:textId="77777777" w:rsidR="001A059C" w:rsidRPr="00CD1DFD" w:rsidRDefault="001A059C" w:rsidP="004C3633">
            <w:pPr>
              <w:jc w:val="center"/>
              <w:rPr>
                <w:rFonts w:cs="Arial"/>
                <w:b/>
              </w:rPr>
            </w:pPr>
            <w:r w:rsidRPr="00CD1DFD">
              <w:rPr>
                <w:rFonts w:cs="Arial"/>
                <w:b/>
              </w:rPr>
              <w:t>2018/19</w:t>
            </w:r>
          </w:p>
        </w:tc>
        <w:tc>
          <w:tcPr>
            <w:tcW w:w="1134" w:type="dxa"/>
            <w:tcBorders>
              <w:bottom w:val="nil"/>
            </w:tcBorders>
            <w:shd w:val="clear" w:color="auto" w:fill="A6A6A6" w:themeFill="background1" w:themeFillShade="A6"/>
          </w:tcPr>
          <w:p w14:paraId="58450FDF" w14:textId="77777777" w:rsidR="001A059C" w:rsidRPr="00CD1DFD" w:rsidRDefault="001A059C" w:rsidP="004C3633">
            <w:pPr>
              <w:jc w:val="center"/>
              <w:rPr>
                <w:rFonts w:cs="Arial"/>
                <w:b/>
              </w:rPr>
            </w:pPr>
            <w:r w:rsidRPr="00CD1DFD">
              <w:rPr>
                <w:rFonts w:cs="Arial"/>
                <w:b/>
              </w:rPr>
              <w:t>2019/20</w:t>
            </w:r>
          </w:p>
        </w:tc>
        <w:tc>
          <w:tcPr>
            <w:tcW w:w="1134" w:type="dxa"/>
            <w:tcBorders>
              <w:bottom w:val="nil"/>
            </w:tcBorders>
            <w:shd w:val="clear" w:color="auto" w:fill="A6A6A6" w:themeFill="background1" w:themeFillShade="A6"/>
          </w:tcPr>
          <w:p w14:paraId="6C7EB36D" w14:textId="77777777" w:rsidR="001A059C" w:rsidRPr="00CD1DFD" w:rsidRDefault="001A059C" w:rsidP="004C3633">
            <w:pPr>
              <w:jc w:val="center"/>
              <w:rPr>
                <w:rFonts w:cs="Arial"/>
                <w:b/>
              </w:rPr>
            </w:pPr>
            <w:r w:rsidRPr="00CD1DFD">
              <w:rPr>
                <w:rFonts w:cs="Arial"/>
                <w:b/>
              </w:rPr>
              <w:t>2020/21</w:t>
            </w:r>
          </w:p>
        </w:tc>
        <w:tc>
          <w:tcPr>
            <w:tcW w:w="284" w:type="dxa"/>
            <w:tcBorders>
              <w:bottom w:val="nil"/>
            </w:tcBorders>
            <w:shd w:val="clear" w:color="auto" w:fill="A6A6A6" w:themeFill="background1" w:themeFillShade="A6"/>
          </w:tcPr>
          <w:p w14:paraId="2945BD7E" w14:textId="77777777" w:rsidR="001A059C" w:rsidRPr="00CD1DFD" w:rsidRDefault="001A059C" w:rsidP="004C3633">
            <w:pPr>
              <w:jc w:val="center"/>
              <w:rPr>
                <w:rFonts w:cs="Arial"/>
                <w:b/>
              </w:rPr>
            </w:pPr>
          </w:p>
        </w:tc>
        <w:tc>
          <w:tcPr>
            <w:tcW w:w="1134" w:type="dxa"/>
            <w:tcBorders>
              <w:bottom w:val="nil"/>
            </w:tcBorders>
            <w:shd w:val="clear" w:color="auto" w:fill="A6A6A6" w:themeFill="background1" w:themeFillShade="A6"/>
            <w:vAlign w:val="center"/>
          </w:tcPr>
          <w:p w14:paraId="1138917D" w14:textId="16D7DDB4" w:rsidR="001A059C" w:rsidRPr="00CD1DFD" w:rsidRDefault="001A059C" w:rsidP="001A059C">
            <w:pPr>
              <w:jc w:val="center"/>
              <w:rPr>
                <w:rFonts w:cs="Arial"/>
                <w:b/>
              </w:rPr>
            </w:pPr>
            <w:r>
              <w:rPr>
                <w:rFonts w:cs="Arial"/>
                <w:b/>
              </w:rPr>
              <w:t>Total</w:t>
            </w:r>
          </w:p>
        </w:tc>
      </w:tr>
      <w:tr w:rsidR="001A059C" w:rsidRPr="00CD1DFD" w14:paraId="1C243A7F" w14:textId="42322879" w:rsidTr="001A059C">
        <w:tc>
          <w:tcPr>
            <w:tcW w:w="3823" w:type="dxa"/>
            <w:tcBorders>
              <w:top w:val="nil"/>
            </w:tcBorders>
            <w:shd w:val="clear" w:color="auto" w:fill="A6A6A6" w:themeFill="background1" w:themeFillShade="A6"/>
          </w:tcPr>
          <w:p w14:paraId="167A7191" w14:textId="77777777" w:rsidR="001A059C" w:rsidRPr="00CD1DFD" w:rsidRDefault="001A059C" w:rsidP="004C3633">
            <w:pPr>
              <w:rPr>
                <w:rFonts w:cs="Arial"/>
              </w:rPr>
            </w:pPr>
          </w:p>
        </w:tc>
        <w:tc>
          <w:tcPr>
            <w:tcW w:w="1417" w:type="dxa"/>
            <w:tcBorders>
              <w:top w:val="nil"/>
            </w:tcBorders>
            <w:shd w:val="clear" w:color="auto" w:fill="A6A6A6" w:themeFill="background1" w:themeFillShade="A6"/>
          </w:tcPr>
          <w:p w14:paraId="726386C3" w14:textId="77777777" w:rsidR="001A059C" w:rsidRPr="00CD1DFD" w:rsidRDefault="001A059C" w:rsidP="004C3633">
            <w:pPr>
              <w:jc w:val="center"/>
              <w:rPr>
                <w:rFonts w:cs="Arial"/>
                <w:b/>
              </w:rPr>
            </w:pPr>
            <w:r w:rsidRPr="00CD1DFD">
              <w:rPr>
                <w:rFonts w:cs="Arial"/>
                <w:b/>
              </w:rPr>
              <w:t>£m</w:t>
            </w:r>
          </w:p>
        </w:tc>
        <w:tc>
          <w:tcPr>
            <w:tcW w:w="1134" w:type="dxa"/>
            <w:tcBorders>
              <w:top w:val="nil"/>
            </w:tcBorders>
            <w:shd w:val="clear" w:color="auto" w:fill="A6A6A6" w:themeFill="background1" w:themeFillShade="A6"/>
          </w:tcPr>
          <w:p w14:paraId="6F35E4CB" w14:textId="77777777" w:rsidR="001A059C" w:rsidRPr="00CD1DFD" w:rsidRDefault="001A059C" w:rsidP="004C3633">
            <w:pPr>
              <w:jc w:val="center"/>
              <w:rPr>
                <w:rFonts w:cs="Arial"/>
                <w:b/>
              </w:rPr>
            </w:pPr>
            <w:r w:rsidRPr="00CD1DFD">
              <w:rPr>
                <w:rFonts w:cs="Arial"/>
                <w:b/>
              </w:rPr>
              <w:t>£m</w:t>
            </w:r>
          </w:p>
        </w:tc>
        <w:tc>
          <w:tcPr>
            <w:tcW w:w="1134" w:type="dxa"/>
            <w:tcBorders>
              <w:top w:val="nil"/>
            </w:tcBorders>
            <w:shd w:val="clear" w:color="auto" w:fill="A6A6A6" w:themeFill="background1" w:themeFillShade="A6"/>
          </w:tcPr>
          <w:p w14:paraId="019726A0" w14:textId="77777777" w:rsidR="001A059C" w:rsidRPr="00CD1DFD" w:rsidRDefault="001A059C" w:rsidP="004C3633">
            <w:pPr>
              <w:jc w:val="center"/>
              <w:rPr>
                <w:rFonts w:cs="Arial"/>
                <w:b/>
              </w:rPr>
            </w:pPr>
            <w:r w:rsidRPr="00CD1DFD">
              <w:rPr>
                <w:rFonts w:cs="Arial"/>
                <w:b/>
              </w:rPr>
              <w:t>£m</w:t>
            </w:r>
          </w:p>
        </w:tc>
        <w:tc>
          <w:tcPr>
            <w:tcW w:w="1134" w:type="dxa"/>
            <w:tcBorders>
              <w:top w:val="nil"/>
            </w:tcBorders>
            <w:shd w:val="clear" w:color="auto" w:fill="A6A6A6" w:themeFill="background1" w:themeFillShade="A6"/>
          </w:tcPr>
          <w:p w14:paraId="1EB18ABD" w14:textId="77777777" w:rsidR="001A059C" w:rsidRPr="00CD1DFD" w:rsidRDefault="001A059C" w:rsidP="004C3633">
            <w:pPr>
              <w:jc w:val="center"/>
              <w:rPr>
                <w:rFonts w:cs="Arial"/>
                <w:b/>
              </w:rPr>
            </w:pPr>
            <w:r w:rsidRPr="00CD1DFD">
              <w:rPr>
                <w:rFonts w:cs="Arial"/>
                <w:b/>
              </w:rPr>
              <w:t>£m</w:t>
            </w:r>
          </w:p>
        </w:tc>
        <w:tc>
          <w:tcPr>
            <w:tcW w:w="284" w:type="dxa"/>
            <w:tcBorders>
              <w:top w:val="nil"/>
            </w:tcBorders>
            <w:shd w:val="clear" w:color="auto" w:fill="A6A6A6" w:themeFill="background1" w:themeFillShade="A6"/>
          </w:tcPr>
          <w:p w14:paraId="0E14821F" w14:textId="77777777" w:rsidR="001A059C" w:rsidRPr="00CD1DFD" w:rsidRDefault="001A059C" w:rsidP="004C3633">
            <w:pPr>
              <w:jc w:val="center"/>
              <w:rPr>
                <w:rFonts w:cs="Arial"/>
                <w:b/>
              </w:rPr>
            </w:pPr>
          </w:p>
        </w:tc>
        <w:tc>
          <w:tcPr>
            <w:tcW w:w="1134" w:type="dxa"/>
            <w:tcBorders>
              <w:top w:val="nil"/>
            </w:tcBorders>
            <w:shd w:val="clear" w:color="auto" w:fill="A6A6A6" w:themeFill="background1" w:themeFillShade="A6"/>
            <w:vAlign w:val="center"/>
          </w:tcPr>
          <w:p w14:paraId="19478F6A" w14:textId="1F2650D0" w:rsidR="001A059C" w:rsidRPr="00CD1DFD" w:rsidRDefault="001A059C" w:rsidP="001A059C">
            <w:pPr>
              <w:jc w:val="center"/>
              <w:rPr>
                <w:rFonts w:cs="Arial"/>
                <w:b/>
              </w:rPr>
            </w:pPr>
            <w:r w:rsidRPr="00CD1DFD">
              <w:rPr>
                <w:rFonts w:cs="Arial"/>
                <w:b/>
              </w:rPr>
              <w:t>£m</w:t>
            </w:r>
          </w:p>
        </w:tc>
      </w:tr>
      <w:tr w:rsidR="001A059C" w:rsidRPr="00CD1DFD" w14:paraId="75769C96" w14:textId="695586BC" w:rsidTr="001A059C">
        <w:tc>
          <w:tcPr>
            <w:tcW w:w="3823" w:type="dxa"/>
          </w:tcPr>
          <w:p w14:paraId="34E4E434" w14:textId="775EA936" w:rsidR="001A059C" w:rsidRPr="001A059C" w:rsidRDefault="001A059C" w:rsidP="004C3633">
            <w:pPr>
              <w:rPr>
                <w:rFonts w:cs="Arial"/>
              </w:rPr>
            </w:pPr>
            <w:r w:rsidRPr="001A059C">
              <w:rPr>
                <w:rFonts w:eastAsia="Times New Roman" w:cs="Arial"/>
                <w:bCs/>
                <w:lang w:eastAsia="en-GB"/>
              </w:rPr>
              <w:t>Previous MTFS (2% 2017/18 - 2020/21)</w:t>
            </w:r>
          </w:p>
        </w:tc>
        <w:tc>
          <w:tcPr>
            <w:tcW w:w="1417" w:type="dxa"/>
          </w:tcPr>
          <w:p w14:paraId="4C137AB7" w14:textId="034913F2" w:rsidR="001A059C" w:rsidRPr="001A059C" w:rsidRDefault="001A059C" w:rsidP="004C3633">
            <w:pPr>
              <w:jc w:val="right"/>
              <w:rPr>
                <w:rFonts w:cs="Arial"/>
              </w:rPr>
            </w:pPr>
            <w:r w:rsidRPr="001A059C">
              <w:rPr>
                <w:rFonts w:eastAsia="Times New Roman" w:cs="Arial"/>
                <w:lang w:eastAsia="en-GB"/>
              </w:rPr>
              <w:t>430.627</w:t>
            </w:r>
          </w:p>
        </w:tc>
        <w:tc>
          <w:tcPr>
            <w:tcW w:w="1134" w:type="dxa"/>
          </w:tcPr>
          <w:p w14:paraId="22579C2E" w14:textId="68E5EF30" w:rsidR="001A059C" w:rsidRPr="001A059C" w:rsidRDefault="001A059C" w:rsidP="004C3633">
            <w:pPr>
              <w:jc w:val="right"/>
              <w:rPr>
                <w:rFonts w:cs="Arial"/>
              </w:rPr>
            </w:pPr>
            <w:r w:rsidRPr="001A059C">
              <w:rPr>
                <w:rFonts w:eastAsia="Times New Roman" w:cs="Arial"/>
                <w:lang w:eastAsia="en-GB"/>
              </w:rPr>
              <w:t>452.288</w:t>
            </w:r>
          </w:p>
        </w:tc>
        <w:tc>
          <w:tcPr>
            <w:tcW w:w="1134" w:type="dxa"/>
          </w:tcPr>
          <w:p w14:paraId="160F5CD7" w14:textId="6F5D86F3" w:rsidR="001A059C" w:rsidRPr="001A059C" w:rsidRDefault="001A059C" w:rsidP="004C3633">
            <w:pPr>
              <w:jc w:val="right"/>
              <w:rPr>
                <w:rFonts w:cs="Arial"/>
              </w:rPr>
            </w:pPr>
            <w:r w:rsidRPr="001A059C">
              <w:rPr>
                <w:rFonts w:eastAsia="Times New Roman" w:cs="Arial"/>
                <w:lang w:eastAsia="en-GB"/>
              </w:rPr>
              <w:t>475.036</w:t>
            </w:r>
          </w:p>
        </w:tc>
        <w:tc>
          <w:tcPr>
            <w:tcW w:w="1134" w:type="dxa"/>
          </w:tcPr>
          <w:p w14:paraId="66696C8F" w14:textId="7EFFE057" w:rsidR="001A059C" w:rsidRPr="001A059C" w:rsidRDefault="001A059C" w:rsidP="004C3633">
            <w:pPr>
              <w:jc w:val="right"/>
              <w:rPr>
                <w:rFonts w:cs="Arial"/>
              </w:rPr>
            </w:pPr>
            <w:r w:rsidRPr="001A059C">
              <w:rPr>
                <w:rFonts w:eastAsia="Times New Roman" w:cs="Arial"/>
                <w:lang w:eastAsia="en-GB"/>
              </w:rPr>
              <w:t>498.932</w:t>
            </w:r>
          </w:p>
        </w:tc>
        <w:tc>
          <w:tcPr>
            <w:tcW w:w="284" w:type="dxa"/>
          </w:tcPr>
          <w:p w14:paraId="35A556CC" w14:textId="77777777" w:rsidR="001A059C" w:rsidRPr="001A059C" w:rsidRDefault="001A059C" w:rsidP="004C3633">
            <w:pPr>
              <w:jc w:val="right"/>
              <w:rPr>
                <w:rFonts w:cs="Arial"/>
              </w:rPr>
            </w:pPr>
          </w:p>
        </w:tc>
        <w:tc>
          <w:tcPr>
            <w:tcW w:w="1134" w:type="dxa"/>
          </w:tcPr>
          <w:p w14:paraId="111EC11A" w14:textId="77936F27" w:rsidR="001A059C" w:rsidRPr="001A059C" w:rsidRDefault="001A059C" w:rsidP="004C3633">
            <w:pPr>
              <w:jc w:val="right"/>
              <w:rPr>
                <w:rFonts w:cs="Arial"/>
                <w:b/>
              </w:rPr>
            </w:pPr>
            <w:r w:rsidRPr="001A059C">
              <w:rPr>
                <w:rFonts w:eastAsia="Times New Roman" w:cs="Arial"/>
                <w:b/>
                <w:bCs/>
                <w:lang w:eastAsia="en-GB"/>
              </w:rPr>
              <w:t>1,856.882</w:t>
            </w:r>
          </w:p>
        </w:tc>
      </w:tr>
      <w:tr w:rsidR="001A059C" w:rsidRPr="00CD1DFD" w14:paraId="502AFF52" w14:textId="77777777" w:rsidTr="001A059C">
        <w:tc>
          <w:tcPr>
            <w:tcW w:w="3823" w:type="dxa"/>
          </w:tcPr>
          <w:p w14:paraId="3B630138" w14:textId="77777777" w:rsidR="001A059C" w:rsidRPr="001A059C" w:rsidRDefault="001A059C" w:rsidP="004C3633">
            <w:pPr>
              <w:rPr>
                <w:rFonts w:eastAsia="Times New Roman" w:cs="Arial"/>
                <w:bCs/>
                <w:lang w:eastAsia="en-GB"/>
              </w:rPr>
            </w:pPr>
          </w:p>
        </w:tc>
        <w:tc>
          <w:tcPr>
            <w:tcW w:w="1417" w:type="dxa"/>
          </w:tcPr>
          <w:p w14:paraId="60328B5F" w14:textId="77777777" w:rsidR="001A059C" w:rsidRPr="001A059C" w:rsidRDefault="001A059C" w:rsidP="004C3633">
            <w:pPr>
              <w:jc w:val="right"/>
              <w:rPr>
                <w:rFonts w:eastAsia="Times New Roman" w:cs="Arial"/>
                <w:lang w:eastAsia="en-GB"/>
              </w:rPr>
            </w:pPr>
          </w:p>
        </w:tc>
        <w:tc>
          <w:tcPr>
            <w:tcW w:w="1134" w:type="dxa"/>
          </w:tcPr>
          <w:p w14:paraId="0E19A70A" w14:textId="77777777" w:rsidR="001A059C" w:rsidRPr="001A059C" w:rsidRDefault="001A059C" w:rsidP="004C3633">
            <w:pPr>
              <w:jc w:val="right"/>
              <w:rPr>
                <w:rFonts w:eastAsia="Times New Roman" w:cs="Arial"/>
                <w:lang w:eastAsia="en-GB"/>
              </w:rPr>
            </w:pPr>
          </w:p>
        </w:tc>
        <w:tc>
          <w:tcPr>
            <w:tcW w:w="1134" w:type="dxa"/>
          </w:tcPr>
          <w:p w14:paraId="0929D0DA" w14:textId="77777777" w:rsidR="001A059C" w:rsidRPr="001A059C" w:rsidRDefault="001A059C" w:rsidP="004C3633">
            <w:pPr>
              <w:jc w:val="right"/>
              <w:rPr>
                <w:rFonts w:eastAsia="Times New Roman" w:cs="Arial"/>
                <w:lang w:eastAsia="en-GB"/>
              </w:rPr>
            </w:pPr>
          </w:p>
        </w:tc>
        <w:tc>
          <w:tcPr>
            <w:tcW w:w="1134" w:type="dxa"/>
          </w:tcPr>
          <w:p w14:paraId="243DE0BD" w14:textId="77777777" w:rsidR="001A059C" w:rsidRPr="001A059C" w:rsidRDefault="001A059C" w:rsidP="004C3633">
            <w:pPr>
              <w:jc w:val="right"/>
              <w:rPr>
                <w:rFonts w:eastAsia="Times New Roman" w:cs="Arial"/>
                <w:lang w:eastAsia="en-GB"/>
              </w:rPr>
            </w:pPr>
          </w:p>
        </w:tc>
        <w:tc>
          <w:tcPr>
            <w:tcW w:w="284" w:type="dxa"/>
          </w:tcPr>
          <w:p w14:paraId="74E36635" w14:textId="77777777" w:rsidR="001A059C" w:rsidRPr="001A059C" w:rsidRDefault="001A059C" w:rsidP="004C3633">
            <w:pPr>
              <w:jc w:val="right"/>
              <w:rPr>
                <w:rFonts w:cs="Arial"/>
              </w:rPr>
            </w:pPr>
          </w:p>
        </w:tc>
        <w:tc>
          <w:tcPr>
            <w:tcW w:w="1134" w:type="dxa"/>
          </w:tcPr>
          <w:p w14:paraId="52D4FE42" w14:textId="77777777" w:rsidR="001A059C" w:rsidRPr="001A059C" w:rsidRDefault="001A059C" w:rsidP="004C3633">
            <w:pPr>
              <w:jc w:val="right"/>
              <w:rPr>
                <w:rFonts w:eastAsia="Times New Roman" w:cs="Arial"/>
                <w:b/>
                <w:bCs/>
                <w:lang w:eastAsia="en-GB"/>
              </w:rPr>
            </w:pPr>
          </w:p>
        </w:tc>
      </w:tr>
      <w:tr w:rsidR="001A059C" w:rsidRPr="00CD1DFD" w14:paraId="6B6595BD" w14:textId="77777777" w:rsidTr="004C3633">
        <w:tc>
          <w:tcPr>
            <w:tcW w:w="3823" w:type="dxa"/>
          </w:tcPr>
          <w:p w14:paraId="49918372" w14:textId="2D5FCA85" w:rsidR="001A059C" w:rsidRPr="001A059C" w:rsidRDefault="001A059C" w:rsidP="001A059C">
            <w:pPr>
              <w:rPr>
                <w:rFonts w:eastAsia="Times New Roman" w:cs="Arial"/>
                <w:bCs/>
                <w:lang w:eastAsia="en-GB"/>
              </w:rPr>
            </w:pPr>
            <w:r w:rsidRPr="001A059C">
              <w:rPr>
                <w:rFonts w:eastAsia="Times New Roman" w:cs="Arial"/>
                <w:bCs/>
                <w:lang w:eastAsia="en-GB"/>
              </w:rPr>
              <w:t>Current Position (2% 2017/18 - 2019/20, 0% 2020/21)</w:t>
            </w:r>
          </w:p>
        </w:tc>
        <w:tc>
          <w:tcPr>
            <w:tcW w:w="1417" w:type="dxa"/>
            <w:tcBorders>
              <w:top w:val="nil"/>
              <w:left w:val="nil"/>
              <w:bottom w:val="single" w:sz="4" w:space="0" w:color="auto"/>
              <w:right w:val="single" w:sz="4" w:space="0" w:color="auto"/>
            </w:tcBorders>
            <w:shd w:val="clear" w:color="auto" w:fill="auto"/>
            <w:vAlign w:val="bottom"/>
          </w:tcPr>
          <w:p w14:paraId="6E6C7FA8" w14:textId="46CE9F0E" w:rsidR="001A059C" w:rsidRPr="001A059C" w:rsidRDefault="001A059C" w:rsidP="001A059C">
            <w:pPr>
              <w:jc w:val="right"/>
              <w:rPr>
                <w:rFonts w:eastAsia="Times New Roman" w:cs="Arial"/>
                <w:lang w:eastAsia="en-GB"/>
              </w:rPr>
            </w:pPr>
            <w:r w:rsidRPr="001A059C">
              <w:rPr>
                <w:rFonts w:eastAsia="Times New Roman" w:cs="Arial"/>
                <w:lang w:eastAsia="en-GB"/>
              </w:rPr>
              <w:t>430.627</w:t>
            </w:r>
          </w:p>
        </w:tc>
        <w:tc>
          <w:tcPr>
            <w:tcW w:w="1134" w:type="dxa"/>
            <w:tcBorders>
              <w:top w:val="nil"/>
              <w:left w:val="nil"/>
              <w:bottom w:val="single" w:sz="4" w:space="0" w:color="auto"/>
              <w:right w:val="single" w:sz="4" w:space="0" w:color="auto"/>
            </w:tcBorders>
            <w:shd w:val="clear" w:color="auto" w:fill="auto"/>
            <w:vAlign w:val="bottom"/>
          </w:tcPr>
          <w:p w14:paraId="536A48AA" w14:textId="7FB8AB95" w:rsidR="001A059C" w:rsidRPr="001A059C" w:rsidRDefault="001A059C" w:rsidP="001A059C">
            <w:pPr>
              <w:jc w:val="right"/>
              <w:rPr>
                <w:rFonts w:eastAsia="Times New Roman" w:cs="Arial"/>
                <w:lang w:eastAsia="en-GB"/>
              </w:rPr>
            </w:pPr>
            <w:r w:rsidRPr="001A059C">
              <w:rPr>
                <w:rFonts w:eastAsia="Times New Roman" w:cs="Arial"/>
                <w:lang w:eastAsia="en-GB"/>
              </w:rPr>
              <w:t>452.288</w:t>
            </w:r>
          </w:p>
        </w:tc>
        <w:tc>
          <w:tcPr>
            <w:tcW w:w="1134" w:type="dxa"/>
            <w:tcBorders>
              <w:top w:val="nil"/>
              <w:left w:val="nil"/>
              <w:bottom w:val="single" w:sz="4" w:space="0" w:color="auto"/>
              <w:right w:val="single" w:sz="4" w:space="0" w:color="auto"/>
            </w:tcBorders>
            <w:shd w:val="clear" w:color="auto" w:fill="auto"/>
            <w:vAlign w:val="bottom"/>
          </w:tcPr>
          <w:p w14:paraId="2F728CAF" w14:textId="6A9B689D" w:rsidR="001A059C" w:rsidRPr="001A059C" w:rsidRDefault="001A059C" w:rsidP="001A059C">
            <w:pPr>
              <w:jc w:val="right"/>
              <w:rPr>
                <w:rFonts w:eastAsia="Times New Roman" w:cs="Arial"/>
                <w:lang w:eastAsia="en-GB"/>
              </w:rPr>
            </w:pPr>
            <w:r w:rsidRPr="001A059C">
              <w:rPr>
                <w:rFonts w:eastAsia="Times New Roman" w:cs="Arial"/>
                <w:lang w:eastAsia="en-GB"/>
              </w:rPr>
              <w:t>475.036</w:t>
            </w:r>
          </w:p>
        </w:tc>
        <w:tc>
          <w:tcPr>
            <w:tcW w:w="1134" w:type="dxa"/>
            <w:tcBorders>
              <w:top w:val="nil"/>
              <w:left w:val="nil"/>
              <w:bottom w:val="single" w:sz="4" w:space="0" w:color="auto"/>
              <w:right w:val="single" w:sz="4" w:space="0" w:color="auto"/>
            </w:tcBorders>
            <w:shd w:val="clear" w:color="auto" w:fill="auto"/>
            <w:vAlign w:val="bottom"/>
          </w:tcPr>
          <w:p w14:paraId="588BD0C4" w14:textId="6709480B" w:rsidR="001A059C" w:rsidRPr="001A059C" w:rsidRDefault="001A059C" w:rsidP="001A059C">
            <w:pPr>
              <w:jc w:val="right"/>
              <w:rPr>
                <w:rFonts w:eastAsia="Times New Roman" w:cs="Arial"/>
                <w:lang w:eastAsia="en-GB"/>
              </w:rPr>
            </w:pPr>
            <w:r w:rsidRPr="001A059C">
              <w:rPr>
                <w:rFonts w:eastAsia="Times New Roman" w:cs="Arial"/>
                <w:lang w:eastAsia="en-GB"/>
              </w:rPr>
              <w:t>489.334</w:t>
            </w:r>
          </w:p>
        </w:tc>
        <w:tc>
          <w:tcPr>
            <w:tcW w:w="284" w:type="dxa"/>
            <w:tcBorders>
              <w:top w:val="nil"/>
              <w:left w:val="nil"/>
              <w:bottom w:val="single" w:sz="4" w:space="0" w:color="auto"/>
              <w:right w:val="single" w:sz="4" w:space="0" w:color="auto"/>
            </w:tcBorders>
            <w:shd w:val="clear" w:color="auto" w:fill="auto"/>
            <w:vAlign w:val="bottom"/>
          </w:tcPr>
          <w:p w14:paraId="06D4DC14" w14:textId="6A1DB53F" w:rsidR="001A059C" w:rsidRPr="001A059C" w:rsidRDefault="001A059C" w:rsidP="001A059C">
            <w:pPr>
              <w:jc w:val="right"/>
              <w:rPr>
                <w:rFonts w:cs="Arial"/>
              </w:rPr>
            </w:pPr>
            <w:r w:rsidRPr="001A059C">
              <w:rPr>
                <w:rFonts w:eastAsia="Times New Roman" w:cs="Arial"/>
                <w:lang w:eastAsia="en-GB"/>
              </w:rPr>
              <w:t> </w:t>
            </w:r>
          </w:p>
        </w:tc>
        <w:tc>
          <w:tcPr>
            <w:tcW w:w="1134" w:type="dxa"/>
            <w:tcBorders>
              <w:top w:val="nil"/>
              <w:left w:val="nil"/>
              <w:bottom w:val="single" w:sz="4" w:space="0" w:color="auto"/>
              <w:right w:val="single" w:sz="4" w:space="0" w:color="auto"/>
            </w:tcBorders>
            <w:shd w:val="clear" w:color="auto" w:fill="auto"/>
            <w:vAlign w:val="bottom"/>
          </w:tcPr>
          <w:p w14:paraId="2F0B9BD2" w14:textId="10BF1745" w:rsidR="001A059C" w:rsidRPr="001A059C" w:rsidRDefault="001A059C" w:rsidP="001A059C">
            <w:pPr>
              <w:jc w:val="right"/>
              <w:rPr>
                <w:rFonts w:eastAsia="Times New Roman" w:cs="Arial"/>
                <w:b/>
                <w:bCs/>
                <w:lang w:eastAsia="en-GB"/>
              </w:rPr>
            </w:pPr>
            <w:r w:rsidRPr="001A059C">
              <w:rPr>
                <w:rFonts w:eastAsia="Times New Roman" w:cs="Arial"/>
                <w:b/>
                <w:bCs/>
                <w:lang w:eastAsia="en-GB"/>
              </w:rPr>
              <w:t>1,847.284</w:t>
            </w:r>
          </w:p>
        </w:tc>
      </w:tr>
      <w:tr w:rsidR="001A059C" w:rsidRPr="00CD1DFD" w14:paraId="3F4F9151" w14:textId="77777777" w:rsidTr="001A059C">
        <w:tc>
          <w:tcPr>
            <w:tcW w:w="3823" w:type="dxa"/>
          </w:tcPr>
          <w:p w14:paraId="5EC7B4E7" w14:textId="059A5D48" w:rsidR="001A059C" w:rsidRPr="001A059C" w:rsidRDefault="001A059C" w:rsidP="001A059C">
            <w:pPr>
              <w:rPr>
                <w:rFonts w:eastAsia="Times New Roman" w:cs="Arial"/>
                <w:bCs/>
                <w:lang w:eastAsia="en-GB"/>
              </w:rPr>
            </w:pPr>
            <w:r w:rsidRPr="001A059C">
              <w:rPr>
                <w:rFonts w:cs="Arial"/>
              </w:rPr>
              <w:t>Increase/decrease in income</w:t>
            </w:r>
          </w:p>
        </w:tc>
        <w:tc>
          <w:tcPr>
            <w:tcW w:w="1417" w:type="dxa"/>
          </w:tcPr>
          <w:p w14:paraId="2E73F48F" w14:textId="3E8FB9FA" w:rsidR="001A059C" w:rsidRPr="001A059C" w:rsidRDefault="001A059C" w:rsidP="001A059C">
            <w:pPr>
              <w:jc w:val="right"/>
              <w:rPr>
                <w:rFonts w:eastAsia="Times New Roman" w:cs="Arial"/>
                <w:lang w:eastAsia="en-GB"/>
              </w:rPr>
            </w:pPr>
            <w:r>
              <w:rPr>
                <w:rFonts w:eastAsia="Times New Roman" w:cs="Arial"/>
                <w:lang w:eastAsia="en-GB"/>
              </w:rPr>
              <w:t>0.000</w:t>
            </w:r>
          </w:p>
        </w:tc>
        <w:tc>
          <w:tcPr>
            <w:tcW w:w="1134" w:type="dxa"/>
          </w:tcPr>
          <w:p w14:paraId="3179E858" w14:textId="2ADE8CDB" w:rsidR="001A059C" w:rsidRPr="001A059C" w:rsidRDefault="001A059C" w:rsidP="001A059C">
            <w:pPr>
              <w:jc w:val="right"/>
              <w:rPr>
                <w:rFonts w:eastAsia="Times New Roman" w:cs="Arial"/>
                <w:lang w:eastAsia="en-GB"/>
              </w:rPr>
            </w:pPr>
            <w:r>
              <w:rPr>
                <w:rFonts w:eastAsia="Times New Roman" w:cs="Arial"/>
                <w:lang w:eastAsia="en-GB"/>
              </w:rPr>
              <w:t>0.000</w:t>
            </w:r>
          </w:p>
        </w:tc>
        <w:tc>
          <w:tcPr>
            <w:tcW w:w="1134" w:type="dxa"/>
          </w:tcPr>
          <w:p w14:paraId="2CD33C01" w14:textId="36CE69A7" w:rsidR="001A059C" w:rsidRPr="001A059C" w:rsidRDefault="001A059C" w:rsidP="001A059C">
            <w:pPr>
              <w:jc w:val="right"/>
              <w:rPr>
                <w:rFonts w:eastAsia="Times New Roman" w:cs="Arial"/>
                <w:lang w:eastAsia="en-GB"/>
              </w:rPr>
            </w:pPr>
            <w:r>
              <w:rPr>
                <w:rFonts w:eastAsia="Times New Roman" w:cs="Arial"/>
                <w:lang w:eastAsia="en-GB"/>
              </w:rPr>
              <w:t>0.000</w:t>
            </w:r>
          </w:p>
        </w:tc>
        <w:tc>
          <w:tcPr>
            <w:tcW w:w="1134" w:type="dxa"/>
          </w:tcPr>
          <w:p w14:paraId="3EB1C981" w14:textId="5FBCE57A" w:rsidR="001A059C" w:rsidRPr="001A059C" w:rsidRDefault="001A059C" w:rsidP="001A059C">
            <w:pPr>
              <w:jc w:val="right"/>
              <w:rPr>
                <w:rFonts w:eastAsia="Times New Roman" w:cs="Arial"/>
                <w:lang w:eastAsia="en-GB"/>
              </w:rPr>
            </w:pPr>
            <w:r>
              <w:rPr>
                <w:rFonts w:eastAsia="Times New Roman" w:cs="Arial"/>
                <w:lang w:eastAsia="en-GB"/>
              </w:rPr>
              <w:t>9.598</w:t>
            </w:r>
          </w:p>
        </w:tc>
        <w:tc>
          <w:tcPr>
            <w:tcW w:w="284" w:type="dxa"/>
          </w:tcPr>
          <w:p w14:paraId="458C3D38" w14:textId="77777777" w:rsidR="001A059C" w:rsidRPr="001A059C" w:rsidRDefault="001A059C" w:rsidP="001A059C">
            <w:pPr>
              <w:jc w:val="right"/>
              <w:rPr>
                <w:rFonts w:cs="Arial"/>
              </w:rPr>
            </w:pPr>
          </w:p>
        </w:tc>
        <w:tc>
          <w:tcPr>
            <w:tcW w:w="1134" w:type="dxa"/>
          </w:tcPr>
          <w:p w14:paraId="301561A4" w14:textId="77777777" w:rsidR="001A059C" w:rsidRPr="001A059C" w:rsidRDefault="001A059C" w:rsidP="001A059C">
            <w:pPr>
              <w:jc w:val="right"/>
              <w:rPr>
                <w:rFonts w:eastAsia="Times New Roman" w:cs="Arial"/>
                <w:b/>
                <w:bCs/>
                <w:lang w:eastAsia="en-GB"/>
              </w:rPr>
            </w:pPr>
          </w:p>
        </w:tc>
      </w:tr>
      <w:tr w:rsidR="001A059C" w:rsidRPr="00CD1DFD" w14:paraId="4EE7279C" w14:textId="77777777" w:rsidTr="004C3633">
        <w:tc>
          <w:tcPr>
            <w:tcW w:w="3823" w:type="dxa"/>
          </w:tcPr>
          <w:p w14:paraId="25397E6D" w14:textId="6DC960BC" w:rsidR="001A059C" w:rsidRPr="001A059C" w:rsidRDefault="001A059C" w:rsidP="001A059C">
            <w:pPr>
              <w:rPr>
                <w:rFonts w:eastAsia="Times New Roman" w:cs="Arial"/>
                <w:bCs/>
                <w:lang w:eastAsia="en-GB"/>
              </w:rPr>
            </w:pPr>
            <w:r w:rsidRPr="001A059C">
              <w:rPr>
                <w:rFonts w:eastAsia="Times New Roman" w:cs="Arial"/>
                <w:bCs/>
                <w:lang w:eastAsia="en-GB"/>
              </w:rPr>
              <w:t>Impact on financial gap</w:t>
            </w:r>
          </w:p>
        </w:tc>
        <w:tc>
          <w:tcPr>
            <w:tcW w:w="1417" w:type="dxa"/>
            <w:tcBorders>
              <w:top w:val="nil"/>
              <w:left w:val="nil"/>
              <w:bottom w:val="single" w:sz="4" w:space="0" w:color="auto"/>
              <w:right w:val="single" w:sz="4" w:space="0" w:color="auto"/>
            </w:tcBorders>
            <w:shd w:val="clear" w:color="auto" w:fill="auto"/>
            <w:vAlign w:val="bottom"/>
          </w:tcPr>
          <w:p w14:paraId="29B3E1A8" w14:textId="7ED3B9E1" w:rsidR="001A059C" w:rsidRPr="001A059C" w:rsidRDefault="001A059C" w:rsidP="001A059C">
            <w:pPr>
              <w:jc w:val="right"/>
              <w:rPr>
                <w:rFonts w:eastAsia="Times New Roman" w:cs="Arial"/>
                <w:lang w:eastAsia="en-GB"/>
              </w:rPr>
            </w:pPr>
            <w:r w:rsidRPr="001A059C">
              <w:rPr>
                <w:rFonts w:eastAsia="Times New Roman" w:cs="Arial"/>
                <w:lang w:eastAsia="en-GB"/>
              </w:rPr>
              <w:t>0.000</w:t>
            </w:r>
          </w:p>
        </w:tc>
        <w:tc>
          <w:tcPr>
            <w:tcW w:w="1134" w:type="dxa"/>
            <w:tcBorders>
              <w:top w:val="nil"/>
              <w:left w:val="nil"/>
              <w:bottom w:val="single" w:sz="4" w:space="0" w:color="auto"/>
              <w:right w:val="single" w:sz="4" w:space="0" w:color="auto"/>
            </w:tcBorders>
            <w:shd w:val="clear" w:color="auto" w:fill="auto"/>
            <w:vAlign w:val="bottom"/>
          </w:tcPr>
          <w:p w14:paraId="74E4BD80" w14:textId="1B8EF7CF" w:rsidR="001A059C" w:rsidRPr="001A059C" w:rsidRDefault="001A059C" w:rsidP="001A059C">
            <w:pPr>
              <w:jc w:val="right"/>
              <w:rPr>
                <w:rFonts w:eastAsia="Times New Roman" w:cs="Arial"/>
                <w:lang w:eastAsia="en-GB"/>
              </w:rPr>
            </w:pPr>
            <w:r w:rsidRPr="001A059C">
              <w:rPr>
                <w:rFonts w:eastAsia="Times New Roman" w:cs="Arial"/>
                <w:lang w:eastAsia="en-GB"/>
              </w:rPr>
              <w:t>0.000</w:t>
            </w:r>
          </w:p>
        </w:tc>
        <w:tc>
          <w:tcPr>
            <w:tcW w:w="1134" w:type="dxa"/>
            <w:tcBorders>
              <w:top w:val="nil"/>
              <w:left w:val="nil"/>
              <w:bottom w:val="single" w:sz="4" w:space="0" w:color="auto"/>
              <w:right w:val="single" w:sz="4" w:space="0" w:color="auto"/>
            </w:tcBorders>
            <w:shd w:val="clear" w:color="auto" w:fill="auto"/>
            <w:vAlign w:val="bottom"/>
          </w:tcPr>
          <w:p w14:paraId="0646BEAE" w14:textId="56C57878" w:rsidR="001A059C" w:rsidRPr="001A059C" w:rsidRDefault="001A059C" w:rsidP="001A059C">
            <w:pPr>
              <w:jc w:val="right"/>
              <w:rPr>
                <w:rFonts w:eastAsia="Times New Roman" w:cs="Arial"/>
                <w:lang w:eastAsia="en-GB"/>
              </w:rPr>
            </w:pPr>
            <w:r w:rsidRPr="001A059C">
              <w:rPr>
                <w:rFonts w:eastAsia="Times New Roman" w:cs="Arial"/>
                <w:lang w:eastAsia="en-GB"/>
              </w:rPr>
              <w:t>0.000</w:t>
            </w:r>
          </w:p>
        </w:tc>
        <w:tc>
          <w:tcPr>
            <w:tcW w:w="1134" w:type="dxa"/>
            <w:tcBorders>
              <w:top w:val="nil"/>
              <w:left w:val="nil"/>
              <w:bottom w:val="single" w:sz="4" w:space="0" w:color="auto"/>
              <w:right w:val="single" w:sz="4" w:space="0" w:color="auto"/>
            </w:tcBorders>
            <w:shd w:val="clear" w:color="auto" w:fill="auto"/>
            <w:vAlign w:val="bottom"/>
          </w:tcPr>
          <w:p w14:paraId="630DD155" w14:textId="70AB7D3D" w:rsidR="001A059C" w:rsidRPr="001A059C" w:rsidRDefault="001A059C" w:rsidP="001A059C">
            <w:pPr>
              <w:jc w:val="right"/>
              <w:rPr>
                <w:rFonts w:eastAsia="Times New Roman" w:cs="Arial"/>
                <w:lang w:eastAsia="en-GB"/>
              </w:rPr>
            </w:pPr>
            <w:r w:rsidRPr="001A059C">
              <w:rPr>
                <w:rFonts w:eastAsia="Times New Roman" w:cs="Arial"/>
                <w:lang w:eastAsia="en-GB"/>
              </w:rPr>
              <w:t>9.598</w:t>
            </w:r>
          </w:p>
        </w:tc>
        <w:tc>
          <w:tcPr>
            <w:tcW w:w="284" w:type="dxa"/>
            <w:tcBorders>
              <w:top w:val="nil"/>
              <w:left w:val="nil"/>
              <w:bottom w:val="single" w:sz="4" w:space="0" w:color="auto"/>
              <w:right w:val="single" w:sz="4" w:space="0" w:color="auto"/>
            </w:tcBorders>
            <w:shd w:val="clear" w:color="auto" w:fill="auto"/>
            <w:vAlign w:val="bottom"/>
          </w:tcPr>
          <w:p w14:paraId="24248598" w14:textId="7DF091B4" w:rsidR="001A059C" w:rsidRPr="001A059C" w:rsidRDefault="001A059C" w:rsidP="001A059C">
            <w:pPr>
              <w:jc w:val="right"/>
              <w:rPr>
                <w:rFonts w:cs="Arial"/>
              </w:rPr>
            </w:pPr>
            <w:r w:rsidRPr="001A059C">
              <w:rPr>
                <w:rFonts w:eastAsia="Times New Roman" w:cs="Arial"/>
                <w:lang w:eastAsia="en-GB"/>
              </w:rPr>
              <w:t> </w:t>
            </w:r>
          </w:p>
        </w:tc>
        <w:tc>
          <w:tcPr>
            <w:tcW w:w="1134" w:type="dxa"/>
            <w:tcBorders>
              <w:top w:val="nil"/>
              <w:left w:val="nil"/>
              <w:bottom w:val="single" w:sz="4" w:space="0" w:color="auto"/>
              <w:right w:val="single" w:sz="4" w:space="0" w:color="auto"/>
            </w:tcBorders>
            <w:shd w:val="clear" w:color="auto" w:fill="auto"/>
            <w:vAlign w:val="bottom"/>
          </w:tcPr>
          <w:p w14:paraId="2825D849" w14:textId="1112B309" w:rsidR="001A059C" w:rsidRPr="001A059C" w:rsidRDefault="001A059C" w:rsidP="001A059C">
            <w:pPr>
              <w:jc w:val="right"/>
              <w:rPr>
                <w:rFonts w:eastAsia="Times New Roman" w:cs="Arial"/>
                <w:b/>
                <w:bCs/>
                <w:lang w:eastAsia="en-GB"/>
              </w:rPr>
            </w:pPr>
            <w:r w:rsidRPr="001A059C">
              <w:rPr>
                <w:rFonts w:eastAsia="Times New Roman" w:cs="Arial"/>
                <w:b/>
                <w:bCs/>
                <w:lang w:eastAsia="en-GB"/>
              </w:rPr>
              <w:t>9.598</w:t>
            </w:r>
          </w:p>
        </w:tc>
      </w:tr>
      <w:tr w:rsidR="001A059C" w:rsidRPr="00CD1DFD" w14:paraId="627CE71F" w14:textId="77777777" w:rsidTr="001A059C">
        <w:tc>
          <w:tcPr>
            <w:tcW w:w="3823" w:type="dxa"/>
          </w:tcPr>
          <w:p w14:paraId="2C62F668" w14:textId="77777777" w:rsidR="001A059C" w:rsidRPr="001A059C" w:rsidRDefault="001A059C" w:rsidP="001A059C">
            <w:pPr>
              <w:rPr>
                <w:rFonts w:eastAsia="Times New Roman" w:cs="Arial"/>
                <w:bCs/>
                <w:lang w:eastAsia="en-GB"/>
              </w:rPr>
            </w:pPr>
          </w:p>
        </w:tc>
        <w:tc>
          <w:tcPr>
            <w:tcW w:w="1417" w:type="dxa"/>
          </w:tcPr>
          <w:p w14:paraId="6B93C3BA" w14:textId="77777777" w:rsidR="001A059C" w:rsidRPr="001A059C" w:rsidRDefault="001A059C" w:rsidP="001A059C">
            <w:pPr>
              <w:jc w:val="right"/>
              <w:rPr>
                <w:rFonts w:eastAsia="Times New Roman" w:cs="Arial"/>
                <w:lang w:eastAsia="en-GB"/>
              </w:rPr>
            </w:pPr>
          </w:p>
        </w:tc>
        <w:tc>
          <w:tcPr>
            <w:tcW w:w="1134" w:type="dxa"/>
          </w:tcPr>
          <w:p w14:paraId="1EC8AF82" w14:textId="77777777" w:rsidR="001A059C" w:rsidRPr="001A059C" w:rsidRDefault="001A059C" w:rsidP="001A059C">
            <w:pPr>
              <w:jc w:val="right"/>
              <w:rPr>
                <w:rFonts w:eastAsia="Times New Roman" w:cs="Arial"/>
                <w:lang w:eastAsia="en-GB"/>
              </w:rPr>
            </w:pPr>
          </w:p>
        </w:tc>
        <w:tc>
          <w:tcPr>
            <w:tcW w:w="1134" w:type="dxa"/>
          </w:tcPr>
          <w:p w14:paraId="1401C84D" w14:textId="77777777" w:rsidR="001A059C" w:rsidRPr="001A059C" w:rsidRDefault="001A059C" w:rsidP="001A059C">
            <w:pPr>
              <w:jc w:val="right"/>
              <w:rPr>
                <w:rFonts w:eastAsia="Times New Roman" w:cs="Arial"/>
                <w:lang w:eastAsia="en-GB"/>
              </w:rPr>
            </w:pPr>
          </w:p>
        </w:tc>
        <w:tc>
          <w:tcPr>
            <w:tcW w:w="1134" w:type="dxa"/>
          </w:tcPr>
          <w:p w14:paraId="236DDCAF" w14:textId="77777777" w:rsidR="001A059C" w:rsidRPr="001A059C" w:rsidRDefault="001A059C" w:rsidP="001A059C">
            <w:pPr>
              <w:jc w:val="right"/>
              <w:rPr>
                <w:rFonts w:eastAsia="Times New Roman" w:cs="Arial"/>
                <w:lang w:eastAsia="en-GB"/>
              </w:rPr>
            </w:pPr>
          </w:p>
        </w:tc>
        <w:tc>
          <w:tcPr>
            <w:tcW w:w="284" w:type="dxa"/>
          </w:tcPr>
          <w:p w14:paraId="48B7ED95" w14:textId="77777777" w:rsidR="001A059C" w:rsidRPr="001A059C" w:rsidRDefault="001A059C" w:rsidP="001A059C">
            <w:pPr>
              <w:jc w:val="right"/>
              <w:rPr>
                <w:rFonts w:cs="Arial"/>
              </w:rPr>
            </w:pPr>
          </w:p>
        </w:tc>
        <w:tc>
          <w:tcPr>
            <w:tcW w:w="1134" w:type="dxa"/>
          </w:tcPr>
          <w:p w14:paraId="532235F5" w14:textId="77777777" w:rsidR="001A059C" w:rsidRPr="001A059C" w:rsidRDefault="001A059C" w:rsidP="001A059C">
            <w:pPr>
              <w:jc w:val="right"/>
              <w:rPr>
                <w:rFonts w:eastAsia="Times New Roman" w:cs="Arial"/>
                <w:b/>
                <w:bCs/>
                <w:lang w:eastAsia="en-GB"/>
              </w:rPr>
            </w:pPr>
          </w:p>
        </w:tc>
      </w:tr>
      <w:tr w:rsidR="001A059C" w:rsidRPr="00CD1DFD" w14:paraId="2149746A" w14:textId="77777777" w:rsidTr="004C3633">
        <w:tc>
          <w:tcPr>
            <w:tcW w:w="3823" w:type="dxa"/>
          </w:tcPr>
          <w:p w14:paraId="622C5C32" w14:textId="554991BD" w:rsidR="001A059C" w:rsidRPr="001A059C" w:rsidRDefault="001A059C" w:rsidP="001A059C">
            <w:pPr>
              <w:rPr>
                <w:rFonts w:eastAsia="Times New Roman" w:cs="Arial"/>
                <w:bCs/>
                <w:lang w:eastAsia="en-GB"/>
              </w:rPr>
            </w:pPr>
            <w:r w:rsidRPr="001A059C">
              <w:rPr>
                <w:rFonts w:eastAsia="Times New Roman" w:cs="Arial"/>
                <w:bCs/>
                <w:lang w:eastAsia="en-GB"/>
              </w:rPr>
              <w:t>Scenario A (3% 2017/18 - 2018/19, 0% 2019/20 -2020/21)</w:t>
            </w:r>
          </w:p>
        </w:tc>
        <w:tc>
          <w:tcPr>
            <w:tcW w:w="1417" w:type="dxa"/>
            <w:tcBorders>
              <w:top w:val="nil"/>
              <w:left w:val="nil"/>
              <w:bottom w:val="single" w:sz="4" w:space="0" w:color="auto"/>
              <w:right w:val="single" w:sz="4" w:space="0" w:color="auto"/>
            </w:tcBorders>
            <w:shd w:val="clear" w:color="auto" w:fill="auto"/>
            <w:vAlign w:val="bottom"/>
          </w:tcPr>
          <w:p w14:paraId="5AD9DF33" w14:textId="3F501F85" w:rsidR="001A059C" w:rsidRPr="001A059C" w:rsidRDefault="001A059C" w:rsidP="001A059C">
            <w:pPr>
              <w:jc w:val="right"/>
              <w:rPr>
                <w:rFonts w:eastAsia="Times New Roman" w:cs="Arial"/>
                <w:lang w:eastAsia="en-GB"/>
              </w:rPr>
            </w:pPr>
            <w:r w:rsidRPr="001A059C">
              <w:rPr>
                <w:rFonts w:eastAsia="Times New Roman" w:cs="Arial"/>
                <w:lang w:eastAsia="en-GB"/>
              </w:rPr>
              <w:t>434.768</w:t>
            </w:r>
          </w:p>
        </w:tc>
        <w:tc>
          <w:tcPr>
            <w:tcW w:w="1134" w:type="dxa"/>
            <w:tcBorders>
              <w:top w:val="nil"/>
              <w:left w:val="nil"/>
              <w:bottom w:val="single" w:sz="4" w:space="0" w:color="auto"/>
              <w:right w:val="single" w:sz="4" w:space="0" w:color="auto"/>
            </w:tcBorders>
            <w:shd w:val="clear" w:color="auto" w:fill="auto"/>
            <w:vAlign w:val="bottom"/>
          </w:tcPr>
          <w:p w14:paraId="73549D16" w14:textId="7FD6175D" w:rsidR="001A059C" w:rsidRPr="001A059C" w:rsidRDefault="001A059C" w:rsidP="001A059C">
            <w:pPr>
              <w:jc w:val="right"/>
              <w:rPr>
                <w:rFonts w:eastAsia="Times New Roman" w:cs="Arial"/>
                <w:lang w:eastAsia="en-GB"/>
              </w:rPr>
            </w:pPr>
            <w:r w:rsidRPr="001A059C">
              <w:rPr>
                <w:rFonts w:eastAsia="Times New Roman" w:cs="Arial"/>
                <w:lang w:eastAsia="en-GB"/>
              </w:rPr>
              <w:t>461.027</w:t>
            </w:r>
          </w:p>
        </w:tc>
        <w:tc>
          <w:tcPr>
            <w:tcW w:w="1134" w:type="dxa"/>
            <w:tcBorders>
              <w:top w:val="nil"/>
              <w:left w:val="nil"/>
              <w:bottom w:val="single" w:sz="4" w:space="0" w:color="auto"/>
              <w:right w:val="single" w:sz="4" w:space="0" w:color="auto"/>
            </w:tcBorders>
            <w:shd w:val="clear" w:color="auto" w:fill="auto"/>
            <w:vAlign w:val="bottom"/>
          </w:tcPr>
          <w:p w14:paraId="101B54F9" w14:textId="534B5A1F" w:rsidR="001A059C" w:rsidRPr="001A059C" w:rsidRDefault="001A059C" w:rsidP="001A059C">
            <w:pPr>
              <w:jc w:val="right"/>
              <w:rPr>
                <w:rFonts w:eastAsia="Times New Roman" w:cs="Arial"/>
                <w:lang w:eastAsia="en-GB"/>
              </w:rPr>
            </w:pPr>
            <w:r w:rsidRPr="001A059C">
              <w:rPr>
                <w:rFonts w:eastAsia="Times New Roman" w:cs="Arial"/>
                <w:lang w:eastAsia="en-GB"/>
              </w:rPr>
              <w:t>474.903</w:t>
            </w:r>
          </w:p>
        </w:tc>
        <w:tc>
          <w:tcPr>
            <w:tcW w:w="1134" w:type="dxa"/>
            <w:tcBorders>
              <w:top w:val="nil"/>
              <w:left w:val="nil"/>
              <w:bottom w:val="single" w:sz="4" w:space="0" w:color="auto"/>
              <w:right w:val="single" w:sz="4" w:space="0" w:color="auto"/>
            </w:tcBorders>
            <w:shd w:val="clear" w:color="auto" w:fill="auto"/>
            <w:vAlign w:val="bottom"/>
          </w:tcPr>
          <w:p w14:paraId="0397913A" w14:textId="0CCD4389" w:rsidR="001A059C" w:rsidRPr="001A059C" w:rsidRDefault="001A059C" w:rsidP="001A059C">
            <w:pPr>
              <w:jc w:val="right"/>
              <w:rPr>
                <w:rFonts w:eastAsia="Times New Roman" w:cs="Arial"/>
                <w:lang w:eastAsia="en-GB"/>
              </w:rPr>
            </w:pPr>
            <w:r w:rsidRPr="001A059C">
              <w:rPr>
                <w:rFonts w:eastAsia="Times New Roman" w:cs="Arial"/>
                <w:lang w:eastAsia="en-GB"/>
              </w:rPr>
              <w:t>489.196</w:t>
            </w:r>
          </w:p>
        </w:tc>
        <w:tc>
          <w:tcPr>
            <w:tcW w:w="284" w:type="dxa"/>
            <w:tcBorders>
              <w:top w:val="nil"/>
              <w:left w:val="nil"/>
              <w:bottom w:val="single" w:sz="4" w:space="0" w:color="auto"/>
              <w:right w:val="single" w:sz="4" w:space="0" w:color="auto"/>
            </w:tcBorders>
            <w:shd w:val="clear" w:color="auto" w:fill="auto"/>
            <w:vAlign w:val="bottom"/>
          </w:tcPr>
          <w:p w14:paraId="68AB1D75" w14:textId="39A4A44E" w:rsidR="001A059C" w:rsidRPr="001A059C" w:rsidRDefault="001A059C" w:rsidP="001A059C">
            <w:pPr>
              <w:jc w:val="right"/>
              <w:rPr>
                <w:rFonts w:cs="Arial"/>
              </w:rPr>
            </w:pPr>
            <w:r w:rsidRPr="001A059C">
              <w:rPr>
                <w:rFonts w:eastAsia="Times New Roman" w:cs="Arial"/>
                <w:lang w:eastAsia="en-GB"/>
              </w:rPr>
              <w:t> </w:t>
            </w:r>
          </w:p>
        </w:tc>
        <w:tc>
          <w:tcPr>
            <w:tcW w:w="1134" w:type="dxa"/>
            <w:tcBorders>
              <w:top w:val="nil"/>
              <w:left w:val="nil"/>
              <w:bottom w:val="single" w:sz="4" w:space="0" w:color="auto"/>
              <w:right w:val="single" w:sz="4" w:space="0" w:color="auto"/>
            </w:tcBorders>
            <w:shd w:val="clear" w:color="auto" w:fill="auto"/>
            <w:vAlign w:val="bottom"/>
          </w:tcPr>
          <w:p w14:paraId="079604F9" w14:textId="7C400D63" w:rsidR="001A059C" w:rsidRPr="001A059C" w:rsidRDefault="001A059C" w:rsidP="001A059C">
            <w:pPr>
              <w:jc w:val="right"/>
              <w:rPr>
                <w:rFonts w:eastAsia="Times New Roman" w:cs="Arial"/>
                <w:b/>
                <w:bCs/>
                <w:lang w:eastAsia="en-GB"/>
              </w:rPr>
            </w:pPr>
            <w:r w:rsidRPr="001A059C">
              <w:rPr>
                <w:rFonts w:eastAsia="Times New Roman" w:cs="Arial"/>
                <w:b/>
                <w:bCs/>
                <w:lang w:eastAsia="en-GB"/>
              </w:rPr>
              <w:t>1,859.894</w:t>
            </w:r>
          </w:p>
        </w:tc>
      </w:tr>
      <w:tr w:rsidR="001A059C" w:rsidRPr="00CD1DFD" w14:paraId="51BC1C41" w14:textId="77777777" w:rsidTr="001A059C">
        <w:tc>
          <w:tcPr>
            <w:tcW w:w="3823" w:type="dxa"/>
          </w:tcPr>
          <w:p w14:paraId="17F59437" w14:textId="47CDA754" w:rsidR="001A059C" w:rsidRPr="001A059C" w:rsidRDefault="001A059C" w:rsidP="001A059C">
            <w:pPr>
              <w:rPr>
                <w:rFonts w:eastAsia="Times New Roman" w:cs="Arial"/>
                <w:bCs/>
                <w:lang w:eastAsia="en-GB"/>
              </w:rPr>
            </w:pPr>
            <w:r w:rsidRPr="001A059C">
              <w:rPr>
                <w:rFonts w:cs="Arial"/>
              </w:rPr>
              <w:t>Increase/decrease in income</w:t>
            </w:r>
          </w:p>
        </w:tc>
        <w:tc>
          <w:tcPr>
            <w:tcW w:w="1417" w:type="dxa"/>
          </w:tcPr>
          <w:p w14:paraId="4343BB13" w14:textId="6CBC7493" w:rsidR="001A059C" w:rsidRPr="001A059C" w:rsidRDefault="001A059C" w:rsidP="001A059C">
            <w:pPr>
              <w:jc w:val="right"/>
              <w:rPr>
                <w:rFonts w:eastAsia="Times New Roman" w:cs="Arial"/>
                <w:lang w:eastAsia="en-GB"/>
              </w:rPr>
            </w:pPr>
            <w:r>
              <w:rPr>
                <w:rFonts w:eastAsia="Times New Roman" w:cs="Arial"/>
                <w:lang w:eastAsia="en-GB"/>
              </w:rPr>
              <w:t>4.142</w:t>
            </w:r>
          </w:p>
        </w:tc>
        <w:tc>
          <w:tcPr>
            <w:tcW w:w="1134" w:type="dxa"/>
          </w:tcPr>
          <w:p w14:paraId="186CB17B" w14:textId="14D123E4" w:rsidR="001A059C" w:rsidRPr="001A059C" w:rsidRDefault="001A059C" w:rsidP="001A059C">
            <w:pPr>
              <w:jc w:val="right"/>
              <w:rPr>
                <w:rFonts w:eastAsia="Times New Roman" w:cs="Arial"/>
                <w:lang w:eastAsia="en-GB"/>
              </w:rPr>
            </w:pPr>
            <w:r>
              <w:rPr>
                <w:rFonts w:eastAsia="Times New Roman" w:cs="Arial"/>
                <w:lang w:eastAsia="en-GB"/>
              </w:rPr>
              <w:t>8.740</w:t>
            </w:r>
          </w:p>
        </w:tc>
        <w:tc>
          <w:tcPr>
            <w:tcW w:w="1134" w:type="dxa"/>
          </w:tcPr>
          <w:p w14:paraId="1CE16C8A" w14:textId="365A984D" w:rsidR="001A059C" w:rsidRPr="001A059C" w:rsidRDefault="001A059C" w:rsidP="001A059C">
            <w:pPr>
              <w:jc w:val="right"/>
              <w:rPr>
                <w:rFonts w:eastAsia="Times New Roman" w:cs="Arial"/>
                <w:lang w:eastAsia="en-GB"/>
              </w:rPr>
            </w:pPr>
            <w:r>
              <w:rPr>
                <w:rFonts w:eastAsia="Times New Roman" w:cs="Arial"/>
                <w:lang w:eastAsia="en-GB"/>
              </w:rPr>
              <w:t>-0.133</w:t>
            </w:r>
          </w:p>
        </w:tc>
        <w:tc>
          <w:tcPr>
            <w:tcW w:w="1134" w:type="dxa"/>
          </w:tcPr>
          <w:p w14:paraId="0F0DAE19" w14:textId="4C919DD6" w:rsidR="001A059C" w:rsidRPr="001A059C" w:rsidRDefault="001A059C" w:rsidP="001A059C">
            <w:pPr>
              <w:jc w:val="right"/>
              <w:rPr>
                <w:rFonts w:eastAsia="Times New Roman" w:cs="Arial"/>
                <w:lang w:eastAsia="en-GB"/>
              </w:rPr>
            </w:pPr>
            <w:r>
              <w:rPr>
                <w:rFonts w:eastAsia="Times New Roman" w:cs="Arial"/>
                <w:lang w:eastAsia="en-GB"/>
              </w:rPr>
              <w:t>-9.736</w:t>
            </w:r>
          </w:p>
        </w:tc>
        <w:tc>
          <w:tcPr>
            <w:tcW w:w="284" w:type="dxa"/>
          </w:tcPr>
          <w:p w14:paraId="1ADC9EE5" w14:textId="77777777" w:rsidR="001A059C" w:rsidRPr="001A059C" w:rsidRDefault="001A059C" w:rsidP="001A059C">
            <w:pPr>
              <w:jc w:val="right"/>
              <w:rPr>
                <w:rFonts w:cs="Arial"/>
              </w:rPr>
            </w:pPr>
          </w:p>
        </w:tc>
        <w:tc>
          <w:tcPr>
            <w:tcW w:w="1134" w:type="dxa"/>
          </w:tcPr>
          <w:p w14:paraId="1CC8784E" w14:textId="77777777" w:rsidR="001A059C" w:rsidRPr="001A059C" w:rsidRDefault="001A059C" w:rsidP="001A059C">
            <w:pPr>
              <w:jc w:val="right"/>
              <w:rPr>
                <w:rFonts w:eastAsia="Times New Roman" w:cs="Arial"/>
                <w:b/>
                <w:bCs/>
                <w:lang w:eastAsia="en-GB"/>
              </w:rPr>
            </w:pPr>
          </w:p>
        </w:tc>
      </w:tr>
      <w:tr w:rsidR="001A059C" w:rsidRPr="00B92491" w14:paraId="09E15178" w14:textId="63E2BE03" w:rsidTr="004C3633">
        <w:tc>
          <w:tcPr>
            <w:tcW w:w="3823" w:type="dxa"/>
          </w:tcPr>
          <w:p w14:paraId="6262233F" w14:textId="77777777" w:rsidR="001A059C" w:rsidRPr="001A059C" w:rsidRDefault="001A059C" w:rsidP="001A059C">
            <w:pPr>
              <w:rPr>
                <w:rFonts w:cs="Arial"/>
              </w:rPr>
            </w:pPr>
            <w:r w:rsidRPr="001A059C">
              <w:rPr>
                <w:rFonts w:cs="Arial"/>
              </w:rPr>
              <w:t>Impact on Funding Gap</w:t>
            </w:r>
          </w:p>
        </w:tc>
        <w:tc>
          <w:tcPr>
            <w:tcW w:w="1417" w:type="dxa"/>
            <w:tcBorders>
              <w:top w:val="nil"/>
              <w:left w:val="nil"/>
              <w:bottom w:val="single" w:sz="4" w:space="0" w:color="auto"/>
              <w:right w:val="single" w:sz="4" w:space="0" w:color="auto"/>
            </w:tcBorders>
            <w:shd w:val="clear" w:color="auto" w:fill="auto"/>
            <w:vAlign w:val="bottom"/>
          </w:tcPr>
          <w:p w14:paraId="69EF125C" w14:textId="5FADA2AE" w:rsidR="001A059C" w:rsidRPr="001A059C" w:rsidRDefault="001A059C" w:rsidP="001A059C">
            <w:pPr>
              <w:jc w:val="right"/>
              <w:rPr>
                <w:rFonts w:cs="Arial"/>
              </w:rPr>
            </w:pPr>
            <w:r w:rsidRPr="001A059C">
              <w:rPr>
                <w:rFonts w:eastAsia="Times New Roman" w:cs="Arial"/>
                <w:lang w:eastAsia="en-GB"/>
              </w:rPr>
              <w:t>-4.142</w:t>
            </w:r>
          </w:p>
        </w:tc>
        <w:tc>
          <w:tcPr>
            <w:tcW w:w="1134" w:type="dxa"/>
            <w:tcBorders>
              <w:top w:val="nil"/>
              <w:left w:val="nil"/>
              <w:bottom w:val="single" w:sz="4" w:space="0" w:color="auto"/>
              <w:right w:val="single" w:sz="4" w:space="0" w:color="auto"/>
            </w:tcBorders>
            <w:shd w:val="clear" w:color="auto" w:fill="auto"/>
            <w:vAlign w:val="bottom"/>
          </w:tcPr>
          <w:p w14:paraId="13A03189" w14:textId="2346E1BA" w:rsidR="001A059C" w:rsidRPr="001A059C" w:rsidRDefault="001A059C" w:rsidP="001A059C">
            <w:pPr>
              <w:jc w:val="right"/>
              <w:rPr>
                <w:rFonts w:cs="Arial"/>
              </w:rPr>
            </w:pPr>
            <w:r w:rsidRPr="001A059C">
              <w:rPr>
                <w:rFonts w:eastAsia="Times New Roman" w:cs="Arial"/>
                <w:lang w:eastAsia="en-GB"/>
              </w:rPr>
              <w:t>-4.598</w:t>
            </w:r>
          </w:p>
        </w:tc>
        <w:tc>
          <w:tcPr>
            <w:tcW w:w="1134" w:type="dxa"/>
            <w:tcBorders>
              <w:top w:val="nil"/>
              <w:left w:val="nil"/>
              <w:bottom w:val="single" w:sz="4" w:space="0" w:color="auto"/>
              <w:right w:val="single" w:sz="4" w:space="0" w:color="auto"/>
            </w:tcBorders>
            <w:shd w:val="clear" w:color="auto" w:fill="auto"/>
            <w:vAlign w:val="bottom"/>
          </w:tcPr>
          <w:p w14:paraId="03990DA5" w14:textId="714E615A" w:rsidR="001A059C" w:rsidRPr="001A059C" w:rsidRDefault="001A059C" w:rsidP="001A059C">
            <w:pPr>
              <w:jc w:val="right"/>
              <w:rPr>
                <w:rFonts w:cs="Arial"/>
              </w:rPr>
            </w:pPr>
            <w:r w:rsidRPr="001A059C">
              <w:rPr>
                <w:rFonts w:eastAsia="Times New Roman" w:cs="Arial"/>
                <w:lang w:eastAsia="en-GB"/>
              </w:rPr>
              <w:t>8.873</w:t>
            </w:r>
          </w:p>
        </w:tc>
        <w:tc>
          <w:tcPr>
            <w:tcW w:w="1134" w:type="dxa"/>
            <w:tcBorders>
              <w:top w:val="nil"/>
              <w:left w:val="nil"/>
              <w:bottom w:val="single" w:sz="4" w:space="0" w:color="auto"/>
              <w:right w:val="single" w:sz="4" w:space="0" w:color="auto"/>
            </w:tcBorders>
            <w:shd w:val="clear" w:color="auto" w:fill="auto"/>
            <w:vAlign w:val="bottom"/>
          </w:tcPr>
          <w:p w14:paraId="21AD2140" w14:textId="66F9B028" w:rsidR="001A059C" w:rsidRPr="001A059C" w:rsidRDefault="001A059C" w:rsidP="001A059C">
            <w:pPr>
              <w:jc w:val="right"/>
              <w:rPr>
                <w:rFonts w:cs="Arial"/>
              </w:rPr>
            </w:pPr>
            <w:r w:rsidRPr="001A059C">
              <w:rPr>
                <w:rFonts w:eastAsia="Times New Roman" w:cs="Arial"/>
                <w:lang w:eastAsia="en-GB"/>
              </w:rPr>
              <w:t>9.603</w:t>
            </w:r>
          </w:p>
        </w:tc>
        <w:tc>
          <w:tcPr>
            <w:tcW w:w="284" w:type="dxa"/>
            <w:tcBorders>
              <w:top w:val="nil"/>
              <w:left w:val="nil"/>
              <w:bottom w:val="single" w:sz="4" w:space="0" w:color="auto"/>
              <w:right w:val="single" w:sz="4" w:space="0" w:color="auto"/>
            </w:tcBorders>
            <w:shd w:val="clear" w:color="auto" w:fill="auto"/>
            <w:vAlign w:val="bottom"/>
          </w:tcPr>
          <w:p w14:paraId="41EBC632" w14:textId="13E7CF1E" w:rsidR="001A059C" w:rsidRPr="001A059C" w:rsidRDefault="001A059C" w:rsidP="001A059C">
            <w:pPr>
              <w:jc w:val="right"/>
              <w:rPr>
                <w:rFonts w:cs="Arial"/>
              </w:rPr>
            </w:pPr>
            <w:r w:rsidRPr="001A059C">
              <w:rPr>
                <w:rFonts w:eastAsia="Times New Roman" w:cs="Arial"/>
                <w:lang w:eastAsia="en-GB"/>
              </w:rPr>
              <w:t> </w:t>
            </w:r>
          </w:p>
        </w:tc>
        <w:tc>
          <w:tcPr>
            <w:tcW w:w="1134" w:type="dxa"/>
            <w:tcBorders>
              <w:top w:val="nil"/>
              <w:left w:val="nil"/>
              <w:bottom w:val="single" w:sz="4" w:space="0" w:color="auto"/>
              <w:right w:val="single" w:sz="4" w:space="0" w:color="auto"/>
            </w:tcBorders>
            <w:shd w:val="clear" w:color="auto" w:fill="auto"/>
            <w:vAlign w:val="bottom"/>
          </w:tcPr>
          <w:p w14:paraId="0CA06271" w14:textId="3F016A8B" w:rsidR="001A059C" w:rsidRPr="001A059C" w:rsidRDefault="001A059C" w:rsidP="001A059C">
            <w:pPr>
              <w:jc w:val="right"/>
              <w:rPr>
                <w:rFonts w:cs="Arial"/>
                <w:b/>
              </w:rPr>
            </w:pPr>
            <w:r w:rsidRPr="001A059C">
              <w:rPr>
                <w:rFonts w:eastAsia="Times New Roman" w:cs="Arial"/>
                <w:b/>
                <w:bCs/>
                <w:lang w:eastAsia="en-GB"/>
              </w:rPr>
              <w:t>9.736</w:t>
            </w:r>
          </w:p>
        </w:tc>
      </w:tr>
    </w:tbl>
    <w:p w14:paraId="24F8BF58" w14:textId="799968CC" w:rsidR="00DD5DD5" w:rsidRPr="00DD5DD5" w:rsidRDefault="00DD5DD5" w:rsidP="00E52BF2">
      <w:pPr>
        <w:spacing w:after="0"/>
        <w:rPr>
          <w:rFonts w:cs="Arial"/>
          <w:i/>
          <w:sz w:val="22"/>
          <w:szCs w:val="22"/>
        </w:rPr>
      </w:pPr>
      <w:r w:rsidRPr="00DD5DD5">
        <w:rPr>
          <w:rFonts w:cs="Arial"/>
          <w:i/>
          <w:sz w:val="22"/>
          <w:szCs w:val="22"/>
        </w:rPr>
        <w:t>*includes 1% increase in tax base and 1.99% council tax increase</w:t>
      </w:r>
    </w:p>
    <w:p w14:paraId="0BC679B0" w14:textId="77777777" w:rsidR="00235868" w:rsidRDefault="00235868" w:rsidP="00E52BF2">
      <w:pPr>
        <w:spacing w:after="0"/>
        <w:rPr>
          <w:rFonts w:cs="Arial"/>
        </w:rPr>
      </w:pPr>
    </w:p>
    <w:p w14:paraId="14CB8D5F" w14:textId="00555F1A" w:rsidR="00B3578F" w:rsidRDefault="00E52BF2" w:rsidP="00E52BF2">
      <w:pPr>
        <w:spacing w:after="0"/>
        <w:rPr>
          <w:rFonts w:cs="Arial"/>
        </w:rPr>
      </w:pPr>
      <w:r>
        <w:rPr>
          <w:rFonts w:cs="Arial"/>
        </w:rPr>
        <w:t xml:space="preserve">This MTFS currently contains an Adult Social Care precept increase of 2% for 2017/18, 2018/19 and 2019/20. The significant impact on this MTFS is that it can no longer be forecast that a 2% Adult Social Care Precept can be applied in 2020/21 and this has therefore been reflected. </w:t>
      </w:r>
    </w:p>
    <w:p w14:paraId="4E95E843" w14:textId="77777777" w:rsidR="00E52BF2" w:rsidRDefault="00E52BF2" w:rsidP="00E52BF2">
      <w:pPr>
        <w:spacing w:after="0"/>
        <w:rPr>
          <w:rFonts w:cs="Arial"/>
        </w:rPr>
      </w:pPr>
    </w:p>
    <w:p w14:paraId="0960E8BF" w14:textId="77777777" w:rsidR="001A059C" w:rsidRDefault="001A059C" w:rsidP="00E52BF2">
      <w:pPr>
        <w:spacing w:after="0"/>
        <w:rPr>
          <w:rFonts w:cs="Arial"/>
        </w:rPr>
      </w:pPr>
    </w:p>
    <w:p w14:paraId="65CD9E3B" w14:textId="77777777" w:rsidR="001A059C" w:rsidRDefault="001A059C" w:rsidP="00E52BF2">
      <w:pPr>
        <w:spacing w:after="0"/>
        <w:rPr>
          <w:rFonts w:cs="Arial"/>
        </w:rPr>
      </w:pPr>
    </w:p>
    <w:p w14:paraId="1C3C3C24" w14:textId="77777777" w:rsidR="001A059C" w:rsidRDefault="001A059C" w:rsidP="00E52BF2">
      <w:pPr>
        <w:spacing w:after="0"/>
        <w:rPr>
          <w:rFonts w:cs="Arial"/>
        </w:rPr>
      </w:pPr>
    </w:p>
    <w:p w14:paraId="4DDBEA79" w14:textId="77777777" w:rsidR="001A059C" w:rsidRDefault="001A059C" w:rsidP="00E52BF2">
      <w:pPr>
        <w:spacing w:after="0"/>
        <w:rPr>
          <w:rFonts w:cs="Arial"/>
        </w:rPr>
      </w:pPr>
    </w:p>
    <w:p w14:paraId="08BF030B" w14:textId="77777777" w:rsidR="001A059C" w:rsidRDefault="001A059C" w:rsidP="00E52BF2">
      <w:pPr>
        <w:spacing w:after="0"/>
        <w:rPr>
          <w:rFonts w:cs="Arial"/>
        </w:rPr>
      </w:pPr>
    </w:p>
    <w:p w14:paraId="22E483BB" w14:textId="77777777" w:rsidR="001A059C" w:rsidRDefault="001A059C" w:rsidP="00E52BF2">
      <w:pPr>
        <w:spacing w:after="0"/>
        <w:rPr>
          <w:rFonts w:cs="Arial"/>
        </w:rPr>
      </w:pPr>
    </w:p>
    <w:p w14:paraId="339E6265" w14:textId="77777777" w:rsidR="001A059C" w:rsidRDefault="001A059C" w:rsidP="00E52BF2">
      <w:pPr>
        <w:spacing w:after="0"/>
        <w:rPr>
          <w:rFonts w:cs="Arial"/>
        </w:rPr>
      </w:pPr>
    </w:p>
    <w:p w14:paraId="4ED3D666" w14:textId="77777777" w:rsidR="00B16B94" w:rsidRDefault="00B16B94" w:rsidP="00E52BF2">
      <w:pPr>
        <w:spacing w:after="0"/>
        <w:rPr>
          <w:rFonts w:cs="Arial"/>
        </w:rPr>
      </w:pPr>
    </w:p>
    <w:p w14:paraId="141AEA7F" w14:textId="77777777" w:rsidR="00B16B94" w:rsidRDefault="00B16B94" w:rsidP="00E52BF2">
      <w:pPr>
        <w:spacing w:after="0"/>
        <w:rPr>
          <w:rFonts w:cs="Arial"/>
        </w:rPr>
      </w:pPr>
    </w:p>
    <w:p w14:paraId="5E317EC7" w14:textId="77777777" w:rsidR="001A059C" w:rsidRDefault="001A059C" w:rsidP="00E52BF2">
      <w:pPr>
        <w:spacing w:after="0"/>
        <w:rPr>
          <w:rFonts w:cs="Arial"/>
        </w:rPr>
      </w:pPr>
    </w:p>
    <w:p w14:paraId="214C6BDA" w14:textId="3E12B959" w:rsidR="00B3578F" w:rsidRDefault="00B3578F" w:rsidP="00E52BF2">
      <w:pPr>
        <w:spacing w:after="0"/>
        <w:rPr>
          <w:rFonts w:cs="Arial"/>
        </w:rPr>
      </w:pPr>
      <w:r>
        <w:rPr>
          <w:rFonts w:cs="Arial"/>
        </w:rPr>
        <w:lastRenderedPageBreak/>
        <w:t xml:space="preserve">The estimated impact of </w:t>
      </w:r>
      <w:r w:rsidR="00E52BF2">
        <w:rPr>
          <w:rFonts w:cs="Arial"/>
        </w:rPr>
        <w:t>not being able to include the Adult Social Care Precept in 2020/21 is as</w:t>
      </w:r>
      <w:r>
        <w:rPr>
          <w:rFonts w:cs="Arial"/>
        </w:rPr>
        <w:t xml:space="preserve"> follows:</w:t>
      </w:r>
    </w:p>
    <w:p w14:paraId="07110A2A" w14:textId="1D5B03BA" w:rsidR="00B3578F" w:rsidRPr="00CD1DFD" w:rsidRDefault="00B3578F" w:rsidP="00B3578F">
      <w:pPr>
        <w:rPr>
          <w:rFonts w:cs="Arial"/>
        </w:rPr>
      </w:pPr>
    </w:p>
    <w:tbl>
      <w:tblPr>
        <w:tblStyle w:val="TableGrid"/>
        <w:tblW w:w="0" w:type="auto"/>
        <w:tblLook w:val="04A0" w:firstRow="1" w:lastRow="0" w:firstColumn="1" w:lastColumn="0" w:noHBand="0" w:noVBand="1"/>
      </w:tblPr>
      <w:tblGrid>
        <w:gridCol w:w="3256"/>
        <w:gridCol w:w="1440"/>
        <w:gridCol w:w="1440"/>
        <w:gridCol w:w="1440"/>
        <w:gridCol w:w="1440"/>
      </w:tblGrid>
      <w:tr w:rsidR="00B3578F" w:rsidRPr="00CD1DFD" w14:paraId="377B7B47" w14:textId="77777777" w:rsidTr="00B55F81">
        <w:tc>
          <w:tcPr>
            <w:tcW w:w="3256" w:type="dxa"/>
            <w:tcBorders>
              <w:bottom w:val="nil"/>
            </w:tcBorders>
            <w:shd w:val="clear" w:color="auto" w:fill="A6A6A6" w:themeFill="background1" w:themeFillShade="A6"/>
          </w:tcPr>
          <w:p w14:paraId="33BFAEF9" w14:textId="77777777" w:rsidR="00B3578F" w:rsidRPr="00CD1DFD" w:rsidRDefault="00B3578F" w:rsidP="00B55F81">
            <w:pPr>
              <w:rPr>
                <w:rFonts w:cs="Arial"/>
              </w:rPr>
            </w:pPr>
          </w:p>
        </w:tc>
        <w:tc>
          <w:tcPr>
            <w:tcW w:w="1440" w:type="dxa"/>
            <w:tcBorders>
              <w:bottom w:val="nil"/>
            </w:tcBorders>
            <w:shd w:val="clear" w:color="auto" w:fill="A6A6A6" w:themeFill="background1" w:themeFillShade="A6"/>
          </w:tcPr>
          <w:p w14:paraId="5BA84565" w14:textId="77777777" w:rsidR="00B3578F" w:rsidRPr="00CD1DFD" w:rsidRDefault="00B3578F" w:rsidP="00B55F81">
            <w:pPr>
              <w:jc w:val="center"/>
              <w:rPr>
                <w:rFonts w:cs="Arial"/>
                <w:b/>
              </w:rPr>
            </w:pPr>
            <w:r w:rsidRPr="00CD1DFD">
              <w:rPr>
                <w:rFonts w:cs="Arial"/>
                <w:b/>
              </w:rPr>
              <w:t>2017/18</w:t>
            </w:r>
          </w:p>
        </w:tc>
        <w:tc>
          <w:tcPr>
            <w:tcW w:w="1440" w:type="dxa"/>
            <w:tcBorders>
              <w:bottom w:val="nil"/>
            </w:tcBorders>
            <w:shd w:val="clear" w:color="auto" w:fill="A6A6A6" w:themeFill="background1" w:themeFillShade="A6"/>
          </w:tcPr>
          <w:p w14:paraId="617B23B5" w14:textId="77777777" w:rsidR="00B3578F" w:rsidRPr="00CD1DFD" w:rsidRDefault="00B3578F" w:rsidP="00B55F81">
            <w:pPr>
              <w:jc w:val="center"/>
              <w:rPr>
                <w:rFonts w:cs="Arial"/>
                <w:b/>
              </w:rPr>
            </w:pPr>
            <w:r w:rsidRPr="00CD1DFD">
              <w:rPr>
                <w:rFonts w:cs="Arial"/>
                <w:b/>
              </w:rPr>
              <w:t>2018/19</w:t>
            </w:r>
          </w:p>
        </w:tc>
        <w:tc>
          <w:tcPr>
            <w:tcW w:w="1440" w:type="dxa"/>
            <w:tcBorders>
              <w:bottom w:val="nil"/>
            </w:tcBorders>
            <w:shd w:val="clear" w:color="auto" w:fill="A6A6A6" w:themeFill="background1" w:themeFillShade="A6"/>
          </w:tcPr>
          <w:p w14:paraId="4C15C5CC" w14:textId="77777777" w:rsidR="00B3578F" w:rsidRPr="00CD1DFD" w:rsidRDefault="00B3578F" w:rsidP="00B55F81">
            <w:pPr>
              <w:jc w:val="center"/>
              <w:rPr>
                <w:rFonts w:cs="Arial"/>
                <w:b/>
              </w:rPr>
            </w:pPr>
            <w:r w:rsidRPr="00CD1DFD">
              <w:rPr>
                <w:rFonts w:cs="Arial"/>
                <w:b/>
              </w:rPr>
              <w:t>2019/20</w:t>
            </w:r>
          </w:p>
        </w:tc>
        <w:tc>
          <w:tcPr>
            <w:tcW w:w="1440" w:type="dxa"/>
            <w:tcBorders>
              <w:bottom w:val="nil"/>
            </w:tcBorders>
            <w:shd w:val="clear" w:color="auto" w:fill="A6A6A6" w:themeFill="background1" w:themeFillShade="A6"/>
          </w:tcPr>
          <w:p w14:paraId="7A52044A" w14:textId="77777777" w:rsidR="00B3578F" w:rsidRPr="00CD1DFD" w:rsidRDefault="00B3578F" w:rsidP="00B55F81">
            <w:pPr>
              <w:jc w:val="center"/>
              <w:rPr>
                <w:rFonts w:cs="Arial"/>
                <w:b/>
              </w:rPr>
            </w:pPr>
            <w:r w:rsidRPr="00CD1DFD">
              <w:rPr>
                <w:rFonts w:cs="Arial"/>
                <w:b/>
              </w:rPr>
              <w:t>2020/21</w:t>
            </w:r>
          </w:p>
        </w:tc>
      </w:tr>
      <w:tr w:rsidR="00B3578F" w:rsidRPr="00CD1DFD" w14:paraId="3E7F86B2" w14:textId="77777777" w:rsidTr="00B55F81">
        <w:tc>
          <w:tcPr>
            <w:tcW w:w="3256" w:type="dxa"/>
            <w:tcBorders>
              <w:top w:val="nil"/>
            </w:tcBorders>
            <w:shd w:val="clear" w:color="auto" w:fill="A6A6A6" w:themeFill="background1" w:themeFillShade="A6"/>
          </w:tcPr>
          <w:p w14:paraId="173517F4" w14:textId="77777777" w:rsidR="00B3578F" w:rsidRPr="00CD1DFD" w:rsidRDefault="00B3578F" w:rsidP="00B55F81">
            <w:pPr>
              <w:rPr>
                <w:rFonts w:cs="Arial"/>
              </w:rPr>
            </w:pPr>
          </w:p>
        </w:tc>
        <w:tc>
          <w:tcPr>
            <w:tcW w:w="1440" w:type="dxa"/>
            <w:tcBorders>
              <w:top w:val="nil"/>
            </w:tcBorders>
            <w:shd w:val="clear" w:color="auto" w:fill="A6A6A6" w:themeFill="background1" w:themeFillShade="A6"/>
          </w:tcPr>
          <w:p w14:paraId="6AE4B837" w14:textId="77777777" w:rsidR="00B3578F" w:rsidRPr="00CD1DFD" w:rsidRDefault="00B3578F"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637C083F" w14:textId="77777777" w:rsidR="00B3578F" w:rsidRPr="00CD1DFD" w:rsidRDefault="00B3578F"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285532E1" w14:textId="77777777" w:rsidR="00B3578F" w:rsidRPr="00CD1DFD" w:rsidRDefault="00B3578F"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678D9AFB" w14:textId="77777777" w:rsidR="00B3578F" w:rsidRPr="00CD1DFD" w:rsidRDefault="00B3578F" w:rsidP="00B55F81">
            <w:pPr>
              <w:jc w:val="center"/>
              <w:rPr>
                <w:rFonts w:cs="Arial"/>
                <w:b/>
              </w:rPr>
            </w:pPr>
            <w:r w:rsidRPr="00CD1DFD">
              <w:rPr>
                <w:rFonts w:cs="Arial"/>
                <w:b/>
              </w:rPr>
              <w:t>£m</w:t>
            </w:r>
          </w:p>
        </w:tc>
      </w:tr>
      <w:tr w:rsidR="00B3578F" w:rsidRPr="00CD1DFD" w14:paraId="07D06700" w14:textId="77777777" w:rsidTr="00B55F81">
        <w:tc>
          <w:tcPr>
            <w:tcW w:w="3256" w:type="dxa"/>
          </w:tcPr>
          <w:p w14:paraId="3D5F29A4" w14:textId="7C40AF7F" w:rsidR="00B3578F" w:rsidRPr="00CD1DFD" w:rsidRDefault="00B3578F" w:rsidP="00E52BF2">
            <w:pPr>
              <w:jc w:val="left"/>
              <w:rPr>
                <w:rFonts w:cs="Arial"/>
              </w:rPr>
            </w:pPr>
            <w:r>
              <w:rPr>
                <w:rFonts w:cs="Arial"/>
              </w:rPr>
              <w:t>Cou</w:t>
            </w:r>
            <w:r w:rsidR="00E52BF2">
              <w:rPr>
                <w:rFonts w:cs="Arial"/>
              </w:rPr>
              <w:t xml:space="preserve">ncil Tax following settlement (3.99% 2017/18, 2018/19, </w:t>
            </w:r>
            <w:r>
              <w:rPr>
                <w:rFonts w:cs="Arial"/>
              </w:rPr>
              <w:t xml:space="preserve">2019/20 and </w:t>
            </w:r>
            <w:r w:rsidR="00E52BF2">
              <w:rPr>
                <w:rFonts w:cs="Arial"/>
              </w:rPr>
              <w:t xml:space="preserve">1.99% in </w:t>
            </w:r>
            <w:r>
              <w:rPr>
                <w:rFonts w:cs="Arial"/>
              </w:rPr>
              <w:t>2020/21)</w:t>
            </w:r>
          </w:p>
        </w:tc>
        <w:tc>
          <w:tcPr>
            <w:tcW w:w="1440" w:type="dxa"/>
          </w:tcPr>
          <w:p w14:paraId="06CD3D4B" w14:textId="020A5994" w:rsidR="00B3578F" w:rsidRPr="00CD1DFD" w:rsidRDefault="00B3578F" w:rsidP="00E52BF2">
            <w:pPr>
              <w:jc w:val="right"/>
              <w:rPr>
                <w:rFonts w:cs="Arial"/>
              </w:rPr>
            </w:pPr>
            <w:r>
              <w:rPr>
                <w:rFonts w:cs="Arial"/>
              </w:rPr>
              <w:t>43</w:t>
            </w:r>
            <w:r w:rsidR="00E52BF2">
              <w:rPr>
                <w:rFonts w:cs="Arial"/>
              </w:rPr>
              <w:t>0.627</w:t>
            </w:r>
          </w:p>
        </w:tc>
        <w:tc>
          <w:tcPr>
            <w:tcW w:w="1440" w:type="dxa"/>
          </w:tcPr>
          <w:p w14:paraId="0AB50904" w14:textId="609F36B8" w:rsidR="00B3578F" w:rsidRPr="00CD1DFD" w:rsidRDefault="00E52BF2" w:rsidP="00E52BF2">
            <w:pPr>
              <w:jc w:val="right"/>
              <w:rPr>
                <w:rFonts w:cs="Arial"/>
              </w:rPr>
            </w:pPr>
            <w:r>
              <w:rPr>
                <w:rFonts w:cs="Arial"/>
              </w:rPr>
              <w:t>452.288</w:t>
            </w:r>
          </w:p>
        </w:tc>
        <w:tc>
          <w:tcPr>
            <w:tcW w:w="1440" w:type="dxa"/>
          </w:tcPr>
          <w:p w14:paraId="5E279CB8" w14:textId="2D4A2FE4" w:rsidR="00B3578F" w:rsidRPr="00CD1DFD" w:rsidRDefault="00E52BF2" w:rsidP="00B55F81">
            <w:pPr>
              <w:jc w:val="right"/>
              <w:rPr>
                <w:rFonts w:cs="Arial"/>
              </w:rPr>
            </w:pPr>
            <w:r>
              <w:rPr>
                <w:rFonts w:cs="Arial"/>
              </w:rPr>
              <w:t>475.036</w:t>
            </w:r>
          </w:p>
        </w:tc>
        <w:tc>
          <w:tcPr>
            <w:tcW w:w="1440" w:type="dxa"/>
          </w:tcPr>
          <w:p w14:paraId="30B41683" w14:textId="587D470B" w:rsidR="00B3578F" w:rsidRPr="00CD1DFD" w:rsidRDefault="00E52BF2" w:rsidP="00B55F81">
            <w:pPr>
              <w:jc w:val="right"/>
              <w:rPr>
                <w:rFonts w:cs="Arial"/>
              </w:rPr>
            </w:pPr>
            <w:r>
              <w:rPr>
                <w:rFonts w:cs="Arial"/>
              </w:rPr>
              <w:t>489.334</w:t>
            </w:r>
          </w:p>
        </w:tc>
      </w:tr>
      <w:tr w:rsidR="00B3578F" w:rsidRPr="00CD1DFD" w14:paraId="4A107DDD" w14:textId="77777777" w:rsidTr="00B55F81">
        <w:tc>
          <w:tcPr>
            <w:tcW w:w="3256" w:type="dxa"/>
          </w:tcPr>
          <w:p w14:paraId="610C2272" w14:textId="4C98D41F" w:rsidR="00B3578F" w:rsidRPr="00CD1DFD" w:rsidRDefault="001C0C6E" w:rsidP="00B55F81">
            <w:pPr>
              <w:rPr>
                <w:rFonts w:cs="Arial"/>
              </w:rPr>
            </w:pPr>
            <w:r>
              <w:rPr>
                <w:rFonts w:cs="Arial"/>
              </w:rPr>
              <w:t>Council Tax – Previous MTFS (3.99% each year)</w:t>
            </w:r>
          </w:p>
        </w:tc>
        <w:tc>
          <w:tcPr>
            <w:tcW w:w="1440" w:type="dxa"/>
          </w:tcPr>
          <w:p w14:paraId="29925924" w14:textId="30BC4C1B" w:rsidR="00B3578F" w:rsidRPr="00CD1DFD" w:rsidRDefault="001C0C6E" w:rsidP="00B55F81">
            <w:pPr>
              <w:jc w:val="right"/>
              <w:rPr>
                <w:rFonts w:cs="Arial"/>
              </w:rPr>
            </w:pPr>
            <w:r>
              <w:rPr>
                <w:rFonts w:cs="Arial"/>
              </w:rPr>
              <w:t>430.627</w:t>
            </w:r>
          </w:p>
        </w:tc>
        <w:tc>
          <w:tcPr>
            <w:tcW w:w="1440" w:type="dxa"/>
          </w:tcPr>
          <w:p w14:paraId="6E7278DE" w14:textId="6CB6806F" w:rsidR="00B3578F" w:rsidRPr="00CD1DFD" w:rsidRDefault="001C0C6E" w:rsidP="00B55F81">
            <w:pPr>
              <w:jc w:val="right"/>
              <w:rPr>
                <w:rFonts w:cs="Arial"/>
              </w:rPr>
            </w:pPr>
            <w:r>
              <w:rPr>
                <w:rFonts w:cs="Arial"/>
              </w:rPr>
              <w:t>452.288</w:t>
            </w:r>
          </w:p>
        </w:tc>
        <w:tc>
          <w:tcPr>
            <w:tcW w:w="1440" w:type="dxa"/>
          </w:tcPr>
          <w:p w14:paraId="3893BEBB" w14:textId="6FCD289E" w:rsidR="00B3578F" w:rsidRPr="00CD1DFD" w:rsidRDefault="001C0C6E" w:rsidP="00B55F81">
            <w:pPr>
              <w:jc w:val="right"/>
              <w:rPr>
                <w:rFonts w:cs="Arial"/>
              </w:rPr>
            </w:pPr>
            <w:r>
              <w:rPr>
                <w:rFonts w:cs="Arial"/>
              </w:rPr>
              <w:t>475.036</w:t>
            </w:r>
          </w:p>
        </w:tc>
        <w:tc>
          <w:tcPr>
            <w:tcW w:w="1440" w:type="dxa"/>
          </w:tcPr>
          <w:p w14:paraId="1708DCEF" w14:textId="7C3D6F3E" w:rsidR="00B3578F" w:rsidRPr="00CD1DFD" w:rsidRDefault="001C0C6E" w:rsidP="00B55F81">
            <w:pPr>
              <w:jc w:val="right"/>
              <w:rPr>
                <w:rFonts w:cs="Arial"/>
              </w:rPr>
            </w:pPr>
            <w:r>
              <w:rPr>
                <w:rFonts w:cs="Arial"/>
              </w:rPr>
              <w:t>498.932</w:t>
            </w:r>
          </w:p>
        </w:tc>
      </w:tr>
      <w:tr w:rsidR="00836278" w:rsidRPr="00CD1DFD" w14:paraId="6884F8FF" w14:textId="77777777" w:rsidTr="00B55F81">
        <w:tc>
          <w:tcPr>
            <w:tcW w:w="3256" w:type="dxa"/>
          </w:tcPr>
          <w:p w14:paraId="033A5AF7" w14:textId="5051452C" w:rsidR="00836278" w:rsidRPr="00836278" w:rsidRDefault="00836278" w:rsidP="00B55F81">
            <w:pPr>
              <w:rPr>
                <w:rFonts w:cs="Arial"/>
                <w:b/>
              </w:rPr>
            </w:pPr>
            <w:r w:rsidRPr="00836278">
              <w:rPr>
                <w:rFonts w:cs="Arial"/>
                <w:b/>
              </w:rPr>
              <w:t>Difference</w:t>
            </w:r>
          </w:p>
        </w:tc>
        <w:tc>
          <w:tcPr>
            <w:tcW w:w="1440" w:type="dxa"/>
          </w:tcPr>
          <w:p w14:paraId="70C07318" w14:textId="349DC40B" w:rsidR="00836278" w:rsidRPr="00836278" w:rsidRDefault="00E52BF2" w:rsidP="00B55F81">
            <w:pPr>
              <w:jc w:val="right"/>
              <w:rPr>
                <w:rFonts w:cs="Arial"/>
                <w:b/>
              </w:rPr>
            </w:pPr>
            <w:r>
              <w:rPr>
                <w:rFonts w:cs="Arial"/>
                <w:b/>
              </w:rPr>
              <w:t>0.000</w:t>
            </w:r>
          </w:p>
        </w:tc>
        <w:tc>
          <w:tcPr>
            <w:tcW w:w="1440" w:type="dxa"/>
          </w:tcPr>
          <w:p w14:paraId="220C56DC" w14:textId="1C3146AB" w:rsidR="00836278" w:rsidRPr="00836278" w:rsidRDefault="00E52BF2" w:rsidP="00B55F81">
            <w:pPr>
              <w:jc w:val="right"/>
              <w:rPr>
                <w:rFonts w:cs="Arial"/>
                <w:b/>
              </w:rPr>
            </w:pPr>
            <w:r>
              <w:rPr>
                <w:rFonts w:cs="Arial"/>
                <w:b/>
              </w:rPr>
              <w:t>0.000</w:t>
            </w:r>
          </w:p>
        </w:tc>
        <w:tc>
          <w:tcPr>
            <w:tcW w:w="1440" w:type="dxa"/>
          </w:tcPr>
          <w:p w14:paraId="4E6CF922" w14:textId="650504A8" w:rsidR="00836278" w:rsidRPr="00836278" w:rsidRDefault="00E52BF2" w:rsidP="00B55F81">
            <w:pPr>
              <w:jc w:val="right"/>
              <w:rPr>
                <w:rFonts w:cs="Arial"/>
                <w:b/>
              </w:rPr>
            </w:pPr>
            <w:r>
              <w:rPr>
                <w:rFonts w:cs="Arial"/>
                <w:b/>
              </w:rPr>
              <w:t>0.000</w:t>
            </w:r>
          </w:p>
        </w:tc>
        <w:tc>
          <w:tcPr>
            <w:tcW w:w="1440" w:type="dxa"/>
          </w:tcPr>
          <w:p w14:paraId="459E6491" w14:textId="2D5148BC" w:rsidR="00836278" w:rsidRPr="00836278" w:rsidRDefault="00E52BF2" w:rsidP="00B55F81">
            <w:pPr>
              <w:jc w:val="right"/>
              <w:rPr>
                <w:rFonts w:cs="Arial"/>
                <w:b/>
              </w:rPr>
            </w:pPr>
            <w:r>
              <w:rPr>
                <w:rFonts w:cs="Arial"/>
                <w:b/>
              </w:rPr>
              <w:t>9.598</w:t>
            </w:r>
          </w:p>
        </w:tc>
      </w:tr>
      <w:tr w:rsidR="001C0C6E" w:rsidRPr="001C0C6E" w14:paraId="1FD661BC" w14:textId="77777777" w:rsidTr="00B55F81">
        <w:tc>
          <w:tcPr>
            <w:tcW w:w="3256" w:type="dxa"/>
          </w:tcPr>
          <w:p w14:paraId="4818AEEF" w14:textId="649FBEE7" w:rsidR="001C0C6E" w:rsidRPr="001C0C6E" w:rsidRDefault="001C0C6E" w:rsidP="00B92491">
            <w:pPr>
              <w:rPr>
                <w:rFonts w:cs="Arial"/>
                <w:b/>
              </w:rPr>
            </w:pPr>
            <w:r w:rsidRPr="001C0C6E">
              <w:rPr>
                <w:rFonts w:cs="Arial"/>
                <w:b/>
              </w:rPr>
              <w:t xml:space="preserve">Impact on </w:t>
            </w:r>
            <w:r w:rsidR="00B92491">
              <w:rPr>
                <w:rFonts w:cs="Arial"/>
                <w:b/>
              </w:rPr>
              <w:t>funding</w:t>
            </w:r>
            <w:r w:rsidRPr="001C0C6E">
              <w:rPr>
                <w:rFonts w:cs="Arial"/>
                <w:b/>
              </w:rPr>
              <w:t xml:space="preserve"> gap</w:t>
            </w:r>
          </w:p>
        </w:tc>
        <w:tc>
          <w:tcPr>
            <w:tcW w:w="1440" w:type="dxa"/>
          </w:tcPr>
          <w:p w14:paraId="75FBF39E" w14:textId="1591F6C0" w:rsidR="001C0C6E" w:rsidRPr="001C0C6E" w:rsidRDefault="00E52BF2" w:rsidP="00B55F81">
            <w:pPr>
              <w:jc w:val="right"/>
              <w:rPr>
                <w:rFonts w:cs="Arial"/>
                <w:b/>
              </w:rPr>
            </w:pPr>
            <w:r>
              <w:rPr>
                <w:rFonts w:cs="Arial"/>
                <w:b/>
              </w:rPr>
              <w:t>0.000</w:t>
            </w:r>
          </w:p>
        </w:tc>
        <w:tc>
          <w:tcPr>
            <w:tcW w:w="1440" w:type="dxa"/>
          </w:tcPr>
          <w:p w14:paraId="5DBDEAB5" w14:textId="1BB3E983" w:rsidR="001C0C6E" w:rsidRPr="001C0C6E" w:rsidRDefault="00E52BF2" w:rsidP="00B55F81">
            <w:pPr>
              <w:jc w:val="right"/>
              <w:rPr>
                <w:rFonts w:cs="Arial"/>
                <w:b/>
              </w:rPr>
            </w:pPr>
            <w:r>
              <w:rPr>
                <w:rFonts w:cs="Arial"/>
                <w:b/>
              </w:rPr>
              <w:t>0.000</w:t>
            </w:r>
          </w:p>
        </w:tc>
        <w:tc>
          <w:tcPr>
            <w:tcW w:w="1440" w:type="dxa"/>
          </w:tcPr>
          <w:p w14:paraId="59E21AC3" w14:textId="6011FE2F" w:rsidR="001C0C6E" w:rsidRPr="001C0C6E" w:rsidRDefault="00E52BF2" w:rsidP="00B55F81">
            <w:pPr>
              <w:jc w:val="right"/>
              <w:rPr>
                <w:rFonts w:cs="Arial"/>
                <w:b/>
              </w:rPr>
            </w:pPr>
            <w:r>
              <w:rPr>
                <w:rFonts w:cs="Arial"/>
                <w:b/>
              </w:rPr>
              <w:t>0.000</w:t>
            </w:r>
          </w:p>
        </w:tc>
        <w:tc>
          <w:tcPr>
            <w:tcW w:w="1440" w:type="dxa"/>
          </w:tcPr>
          <w:p w14:paraId="52299217" w14:textId="22603136" w:rsidR="001C0C6E" w:rsidRPr="001C0C6E" w:rsidRDefault="001C0C6E" w:rsidP="00E52BF2">
            <w:pPr>
              <w:jc w:val="right"/>
              <w:rPr>
                <w:rFonts w:cs="Arial"/>
                <w:b/>
              </w:rPr>
            </w:pPr>
            <w:r w:rsidRPr="001C0C6E">
              <w:rPr>
                <w:rFonts w:cs="Arial"/>
                <w:b/>
              </w:rPr>
              <w:t>9.</w:t>
            </w:r>
            <w:r w:rsidR="00E52BF2">
              <w:rPr>
                <w:rFonts w:cs="Arial"/>
                <w:b/>
              </w:rPr>
              <w:t>598</w:t>
            </w:r>
          </w:p>
        </w:tc>
      </w:tr>
    </w:tbl>
    <w:p w14:paraId="53F45C15" w14:textId="77777777" w:rsidR="00E52BF2" w:rsidRDefault="00E52BF2" w:rsidP="001C0C6E">
      <w:pPr>
        <w:spacing w:after="0"/>
        <w:rPr>
          <w:rFonts w:cs="Arial"/>
        </w:rPr>
      </w:pPr>
    </w:p>
    <w:p w14:paraId="287F3E90" w14:textId="423BC0A5" w:rsidR="00A32D45" w:rsidRDefault="00A32D45" w:rsidP="001C0C6E">
      <w:pPr>
        <w:spacing w:after="0"/>
        <w:rPr>
          <w:rFonts w:cs="Arial"/>
          <w:b/>
          <w:u w:val="single"/>
        </w:rPr>
      </w:pPr>
      <w:r w:rsidRPr="00882976">
        <w:rPr>
          <w:rFonts w:cs="Arial"/>
          <w:b/>
          <w:u w:val="single"/>
        </w:rPr>
        <w:t>New Homes Bonus</w:t>
      </w:r>
    </w:p>
    <w:p w14:paraId="3A8B0081" w14:textId="77777777" w:rsidR="00763383" w:rsidRPr="001C0C6E" w:rsidRDefault="00763383" w:rsidP="001C0C6E">
      <w:pPr>
        <w:spacing w:after="0"/>
        <w:rPr>
          <w:rFonts w:cs="Arial"/>
        </w:rPr>
      </w:pPr>
    </w:p>
    <w:p w14:paraId="1D5752DE" w14:textId="2357E698" w:rsidR="00763383" w:rsidRDefault="00763383" w:rsidP="000E5472">
      <w:pPr>
        <w:spacing w:after="0"/>
        <w:rPr>
          <w:rFonts w:cs="Arial"/>
        </w:rPr>
      </w:pPr>
      <w:r>
        <w:rPr>
          <w:rFonts w:cs="Arial"/>
        </w:rPr>
        <w:t>The operation of the New Homes Bonus (NHB) has recently been subject to consultation, with one are</w:t>
      </w:r>
      <w:r w:rsidR="006232DD">
        <w:rPr>
          <w:rFonts w:cs="Arial"/>
        </w:rPr>
        <w:t>a</w:t>
      </w:r>
      <w:r>
        <w:rPr>
          <w:rFonts w:cs="Arial"/>
        </w:rPr>
        <w:t xml:space="preserve"> for consideration being the number of years for which NHB will be paid. As part of the provisional settlement the Secretary of State announced that payments would be received for 5 years from 2017/18 and 4 years in future years. In addition no NHB will be given for the first 0.4% of growth. </w:t>
      </w:r>
      <w:r w:rsidR="00DD5DD5">
        <w:rPr>
          <w:rFonts w:cs="Arial"/>
        </w:rPr>
        <w:t>These changes have been made to wholly fund the 2017/18 Adult Care Support Grant which has resulted in a new gain for Lancashire overall (County Council, District Council and Unitary Councils)  benefitting by £4.033m.</w:t>
      </w:r>
    </w:p>
    <w:p w14:paraId="6588AEA3" w14:textId="77777777" w:rsidR="00DD5DD5" w:rsidRDefault="00DD5DD5" w:rsidP="000E5472">
      <w:pPr>
        <w:spacing w:after="0"/>
        <w:rPr>
          <w:rFonts w:cs="Arial"/>
        </w:rPr>
      </w:pPr>
    </w:p>
    <w:p w14:paraId="7F9F3569" w14:textId="77777777" w:rsidR="00763383" w:rsidRDefault="00763383" w:rsidP="000E5472">
      <w:pPr>
        <w:spacing w:after="0"/>
        <w:rPr>
          <w:rFonts w:cs="Arial"/>
        </w:rPr>
      </w:pPr>
      <w:r>
        <w:rPr>
          <w:rFonts w:cs="Arial"/>
        </w:rPr>
        <w:t>The impact on the previously reported MTFS is shown below:</w:t>
      </w:r>
    </w:p>
    <w:p w14:paraId="083D1BDC" w14:textId="77777777" w:rsidR="000E5472" w:rsidRDefault="000E5472" w:rsidP="000E5472">
      <w:pPr>
        <w:spacing w:after="0"/>
        <w:rPr>
          <w:rFonts w:cs="Arial"/>
        </w:rPr>
      </w:pPr>
    </w:p>
    <w:tbl>
      <w:tblPr>
        <w:tblStyle w:val="TableGrid"/>
        <w:tblW w:w="0" w:type="auto"/>
        <w:tblLook w:val="04A0" w:firstRow="1" w:lastRow="0" w:firstColumn="1" w:lastColumn="0" w:noHBand="0" w:noVBand="1"/>
      </w:tblPr>
      <w:tblGrid>
        <w:gridCol w:w="3256"/>
        <w:gridCol w:w="1440"/>
        <w:gridCol w:w="1440"/>
        <w:gridCol w:w="1440"/>
        <w:gridCol w:w="1440"/>
      </w:tblGrid>
      <w:tr w:rsidR="00763383" w:rsidRPr="00CD1DFD" w14:paraId="2C7DA606" w14:textId="77777777" w:rsidTr="00B55F81">
        <w:tc>
          <w:tcPr>
            <w:tcW w:w="3256" w:type="dxa"/>
            <w:tcBorders>
              <w:bottom w:val="nil"/>
            </w:tcBorders>
            <w:shd w:val="clear" w:color="auto" w:fill="A6A6A6" w:themeFill="background1" w:themeFillShade="A6"/>
          </w:tcPr>
          <w:p w14:paraId="516CED42" w14:textId="77777777" w:rsidR="00763383" w:rsidRPr="00CD1DFD" w:rsidRDefault="00763383" w:rsidP="00B55F81">
            <w:pPr>
              <w:rPr>
                <w:rFonts w:cs="Arial"/>
              </w:rPr>
            </w:pPr>
          </w:p>
        </w:tc>
        <w:tc>
          <w:tcPr>
            <w:tcW w:w="1440" w:type="dxa"/>
            <w:tcBorders>
              <w:bottom w:val="nil"/>
            </w:tcBorders>
            <w:shd w:val="clear" w:color="auto" w:fill="A6A6A6" w:themeFill="background1" w:themeFillShade="A6"/>
          </w:tcPr>
          <w:p w14:paraId="5AD6D89D" w14:textId="77777777" w:rsidR="00763383" w:rsidRPr="00CD1DFD" w:rsidRDefault="00763383" w:rsidP="00B55F81">
            <w:pPr>
              <w:jc w:val="center"/>
              <w:rPr>
                <w:rFonts w:cs="Arial"/>
                <w:b/>
              </w:rPr>
            </w:pPr>
            <w:r w:rsidRPr="00CD1DFD">
              <w:rPr>
                <w:rFonts w:cs="Arial"/>
                <w:b/>
              </w:rPr>
              <w:t>2017/18</w:t>
            </w:r>
          </w:p>
        </w:tc>
        <w:tc>
          <w:tcPr>
            <w:tcW w:w="1440" w:type="dxa"/>
            <w:tcBorders>
              <w:bottom w:val="nil"/>
            </w:tcBorders>
            <w:shd w:val="clear" w:color="auto" w:fill="A6A6A6" w:themeFill="background1" w:themeFillShade="A6"/>
          </w:tcPr>
          <w:p w14:paraId="7F40E9F4" w14:textId="77777777" w:rsidR="00763383" w:rsidRPr="00CD1DFD" w:rsidRDefault="00763383" w:rsidP="00B55F81">
            <w:pPr>
              <w:jc w:val="center"/>
              <w:rPr>
                <w:rFonts w:cs="Arial"/>
                <w:b/>
              </w:rPr>
            </w:pPr>
            <w:r w:rsidRPr="00CD1DFD">
              <w:rPr>
                <w:rFonts w:cs="Arial"/>
                <w:b/>
              </w:rPr>
              <w:t>2018/19</w:t>
            </w:r>
          </w:p>
        </w:tc>
        <w:tc>
          <w:tcPr>
            <w:tcW w:w="1440" w:type="dxa"/>
            <w:tcBorders>
              <w:bottom w:val="nil"/>
            </w:tcBorders>
            <w:shd w:val="clear" w:color="auto" w:fill="A6A6A6" w:themeFill="background1" w:themeFillShade="A6"/>
          </w:tcPr>
          <w:p w14:paraId="785C3D8F" w14:textId="77777777" w:rsidR="00763383" w:rsidRPr="00CD1DFD" w:rsidRDefault="00763383" w:rsidP="00B55F81">
            <w:pPr>
              <w:jc w:val="center"/>
              <w:rPr>
                <w:rFonts w:cs="Arial"/>
                <w:b/>
              </w:rPr>
            </w:pPr>
            <w:r w:rsidRPr="00CD1DFD">
              <w:rPr>
                <w:rFonts w:cs="Arial"/>
                <w:b/>
              </w:rPr>
              <w:t>2019/20</w:t>
            </w:r>
          </w:p>
        </w:tc>
        <w:tc>
          <w:tcPr>
            <w:tcW w:w="1440" w:type="dxa"/>
            <w:tcBorders>
              <w:bottom w:val="nil"/>
            </w:tcBorders>
            <w:shd w:val="clear" w:color="auto" w:fill="A6A6A6" w:themeFill="background1" w:themeFillShade="A6"/>
          </w:tcPr>
          <w:p w14:paraId="05B283F9" w14:textId="77777777" w:rsidR="00763383" w:rsidRPr="00CD1DFD" w:rsidRDefault="00763383" w:rsidP="00B55F81">
            <w:pPr>
              <w:jc w:val="center"/>
              <w:rPr>
                <w:rFonts w:cs="Arial"/>
                <w:b/>
              </w:rPr>
            </w:pPr>
            <w:r w:rsidRPr="00CD1DFD">
              <w:rPr>
                <w:rFonts w:cs="Arial"/>
                <w:b/>
              </w:rPr>
              <w:t>2020/21</w:t>
            </w:r>
          </w:p>
        </w:tc>
      </w:tr>
      <w:tr w:rsidR="00763383" w:rsidRPr="00CD1DFD" w14:paraId="2F6FC0A6" w14:textId="77777777" w:rsidTr="00B55F81">
        <w:tc>
          <w:tcPr>
            <w:tcW w:w="3256" w:type="dxa"/>
            <w:tcBorders>
              <w:top w:val="nil"/>
            </w:tcBorders>
            <w:shd w:val="clear" w:color="auto" w:fill="A6A6A6" w:themeFill="background1" w:themeFillShade="A6"/>
          </w:tcPr>
          <w:p w14:paraId="6B57015A" w14:textId="77777777" w:rsidR="00763383" w:rsidRPr="00CD1DFD" w:rsidRDefault="00763383" w:rsidP="00B55F81">
            <w:pPr>
              <w:rPr>
                <w:rFonts w:cs="Arial"/>
              </w:rPr>
            </w:pPr>
          </w:p>
        </w:tc>
        <w:tc>
          <w:tcPr>
            <w:tcW w:w="1440" w:type="dxa"/>
            <w:tcBorders>
              <w:top w:val="nil"/>
            </w:tcBorders>
            <w:shd w:val="clear" w:color="auto" w:fill="A6A6A6" w:themeFill="background1" w:themeFillShade="A6"/>
          </w:tcPr>
          <w:p w14:paraId="03DBDD59" w14:textId="77777777" w:rsidR="00763383" w:rsidRPr="00CD1DFD" w:rsidRDefault="00763383"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24C7585B" w14:textId="77777777" w:rsidR="00763383" w:rsidRPr="00CD1DFD" w:rsidRDefault="00763383"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0E95574E" w14:textId="77777777" w:rsidR="00763383" w:rsidRPr="00CD1DFD" w:rsidRDefault="00763383" w:rsidP="00B55F8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12430050" w14:textId="77777777" w:rsidR="00763383" w:rsidRPr="00CD1DFD" w:rsidRDefault="00763383" w:rsidP="00B55F81">
            <w:pPr>
              <w:jc w:val="center"/>
              <w:rPr>
                <w:rFonts w:cs="Arial"/>
                <w:b/>
              </w:rPr>
            </w:pPr>
            <w:r w:rsidRPr="00CD1DFD">
              <w:rPr>
                <w:rFonts w:cs="Arial"/>
                <w:b/>
              </w:rPr>
              <w:t>£m</w:t>
            </w:r>
          </w:p>
        </w:tc>
      </w:tr>
      <w:tr w:rsidR="00763383" w:rsidRPr="00CD1DFD" w14:paraId="1B4AC6EF" w14:textId="77777777" w:rsidTr="00B55F81">
        <w:tc>
          <w:tcPr>
            <w:tcW w:w="3256" w:type="dxa"/>
          </w:tcPr>
          <w:p w14:paraId="6D3E73FF" w14:textId="020F58AA" w:rsidR="00763383" w:rsidRPr="00CD1DFD" w:rsidRDefault="00763383" w:rsidP="00D55848">
            <w:pPr>
              <w:jc w:val="left"/>
              <w:rPr>
                <w:rFonts w:cs="Arial"/>
              </w:rPr>
            </w:pPr>
            <w:r>
              <w:rPr>
                <w:rFonts w:cs="Arial"/>
              </w:rPr>
              <w:t xml:space="preserve">New Homes Bonus – </w:t>
            </w:r>
            <w:r w:rsidR="00C44510">
              <w:rPr>
                <w:rFonts w:cs="Arial"/>
              </w:rPr>
              <w:t>provisional settlement</w:t>
            </w:r>
          </w:p>
        </w:tc>
        <w:tc>
          <w:tcPr>
            <w:tcW w:w="1440" w:type="dxa"/>
          </w:tcPr>
          <w:p w14:paraId="0FF4F9B9" w14:textId="630BA000" w:rsidR="00763383" w:rsidRPr="00CD1DFD" w:rsidRDefault="001046D1" w:rsidP="00B55F81">
            <w:pPr>
              <w:jc w:val="right"/>
              <w:rPr>
                <w:rFonts w:cs="Arial"/>
              </w:rPr>
            </w:pPr>
            <w:r>
              <w:rPr>
                <w:rFonts w:cs="Arial"/>
              </w:rPr>
              <w:t>5.244</w:t>
            </w:r>
          </w:p>
        </w:tc>
        <w:tc>
          <w:tcPr>
            <w:tcW w:w="1440" w:type="dxa"/>
          </w:tcPr>
          <w:p w14:paraId="441CD9E4" w14:textId="05433296" w:rsidR="00763383" w:rsidRPr="00CD1DFD" w:rsidRDefault="00C44510" w:rsidP="00B55F81">
            <w:pPr>
              <w:jc w:val="right"/>
              <w:rPr>
                <w:rFonts w:cs="Arial"/>
              </w:rPr>
            </w:pPr>
            <w:r>
              <w:rPr>
                <w:rFonts w:cs="Arial"/>
              </w:rPr>
              <w:t>3.679</w:t>
            </w:r>
          </w:p>
        </w:tc>
        <w:tc>
          <w:tcPr>
            <w:tcW w:w="1440" w:type="dxa"/>
          </w:tcPr>
          <w:p w14:paraId="21DFD5B3" w14:textId="3B8FF40D" w:rsidR="00763383" w:rsidRPr="00CD1DFD" w:rsidRDefault="00C44510" w:rsidP="00B55F81">
            <w:pPr>
              <w:jc w:val="right"/>
              <w:rPr>
                <w:rFonts w:cs="Arial"/>
              </w:rPr>
            </w:pPr>
            <w:r>
              <w:rPr>
                <w:rFonts w:cs="Arial"/>
              </w:rPr>
              <w:t>3.530</w:t>
            </w:r>
          </w:p>
        </w:tc>
        <w:tc>
          <w:tcPr>
            <w:tcW w:w="1440" w:type="dxa"/>
          </w:tcPr>
          <w:p w14:paraId="2315EDA6" w14:textId="5A5BFBC0" w:rsidR="00763383" w:rsidRPr="00CD1DFD" w:rsidRDefault="00C44510" w:rsidP="00B55F81">
            <w:pPr>
              <w:jc w:val="right"/>
              <w:rPr>
                <w:rFonts w:cs="Arial"/>
              </w:rPr>
            </w:pPr>
            <w:r>
              <w:rPr>
                <w:rFonts w:cs="Arial"/>
              </w:rPr>
              <w:t>3.530</w:t>
            </w:r>
          </w:p>
        </w:tc>
      </w:tr>
      <w:tr w:rsidR="00763383" w:rsidRPr="00CD1DFD" w14:paraId="71B25DAE" w14:textId="77777777" w:rsidTr="00B55F81">
        <w:tc>
          <w:tcPr>
            <w:tcW w:w="3256" w:type="dxa"/>
          </w:tcPr>
          <w:p w14:paraId="1EBE7932" w14:textId="7E8E940E" w:rsidR="00763383" w:rsidRPr="00CD1DFD" w:rsidRDefault="00C44510" w:rsidP="00D55848">
            <w:pPr>
              <w:jc w:val="left"/>
              <w:rPr>
                <w:rFonts w:cs="Arial"/>
              </w:rPr>
            </w:pPr>
            <w:r>
              <w:rPr>
                <w:rFonts w:cs="Arial"/>
              </w:rPr>
              <w:t>New Homes Bonus – previous MTFS</w:t>
            </w:r>
          </w:p>
        </w:tc>
        <w:tc>
          <w:tcPr>
            <w:tcW w:w="1440" w:type="dxa"/>
          </w:tcPr>
          <w:p w14:paraId="0C3C39C0" w14:textId="48269439" w:rsidR="00763383" w:rsidRPr="00CD1DFD" w:rsidRDefault="00C44510" w:rsidP="00B55F81">
            <w:pPr>
              <w:jc w:val="right"/>
              <w:rPr>
                <w:rFonts w:cs="Arial"/>
              </w:rPr>
            </w:pPr>
            <w:r>
              <w:rPr>
                <w:rFonts w:cs="Arial"/>
              </w:rPr>
              <w:t>5.530</w:t>
            </w:r>
          </w:p>
        </w:tc>
        <w:tc>
          <w:tcPr>
            <w:tcW w:w="1440" w:type="dxa"/>
          </w:tcPr>
          <w:p w14:paraId="7D803245" w14:textId="2D026C63" w:rsidR="00763383" w:rsidRPr="00CD1DFD" w:rsidRDefault="00C44510" w:rsidP="00B55F81">
            <w:pPr>
              <w:jc w:val="right"/>
              <w:rPr>
                <w:rFonts w:cs="Arial"/>
              </w:rPr>
            </w:pPr>
            <w:r>
              <w:rPr>
                <w:rFonts w:cs="Arial"/>
              </w:rPr>
              <w:t>3.475</w:t>
            </w:r>
          </w:p>
        </w:tc>
        <w:tc>
          <w:tcPr>
            <w:tcW w:w="1440" w:type="dxa"/>
          </w:tcPr>
          <w:p w14:paraId="3A1571C2" w14:textId="405C231C" w:rsidR="00763383" w:rsidRPr="00CD1DFD" w:rsidRDefault="00C44510" w:rsidP="00B55F81">
            <w:pPr>
              <w:jc w:val="right"/>
              <w:rPr>
                <w:rFonts w:cs="Arial"/>
              </w:rPr>
            </w:pPr>
            <w:r>
              <w:rPr>
                <w:rFonts w:cs="Arial"/>
              </w:rPr>
              <w:t>3.334</w:t>
            </w:r>
          </w:p>
        </w:tc>
        <w:tc>
          <w:tcPr>
            <w:tcW w:w="1440" w:type="dxa"/>
          </w:tcPr>
          <w:p w14:paraId="63BA0082" w14:textId="2257C5B9" w:rsidR="00763383" w:rsidRPr="00CD1DFD" w:rsidRDefault="00C44510" w:rsidP="00B55F81">
            <w:pPr>
              <w:jc w:val="right"/>
              <w:rPr>
                <w:rFonts w:cs="Arial"/>
              </w:rPr>
            </w:pPr>
            <w:r>
              <w:rPr>
                <w:rFonts w:cs="Arial"/>
              </w:rPr>
              <w:t>3.334</w:t>
            </w:r>
          </w:p>
        </w:tc>
      </w:tr>
      <w:tr w:rsidR="00763383" w:rsidRPr="001C0C6E" w14:paraId="3A23500A" w14:textId="77777777" w:rsidTr="00B55F81">
        <w:tc>
          <w:tcPr>
            <w:tcW w:w="3256" w:type="dxa"/>
          </w:tcPr>
          <w:p w14:paraId="62C0CFF9" w14:textId="664B7127" w:rsidR="00763383" w:rsidRPr="001C0C6E" w:rsidRDefault="00C44510" w:rsidP="00B55F81">
            <w:pPr>
              <w:rPr>
                <w:rFonts w:cs="Arial"/>
                <w:b/>
              </w:rPr>
            </w:pPr>
            <w:r>
              <w:rPr>
                <w:rFonts w:cs="Arial"/>
                <w:b/>
              </w:rPr>
              <w:t>Difference</w:t>
            </w:r>
          </w:p>
        </w:tc>
        <w:tc>
          <w:tcPr>
            <w:tcW w:w="1440" w:type="dxa"/>
          </w:tcPr>
          <w:p w14:paraId="19F775BA" w14:textId="500611D1" w:rsidR="00763383" w:rsidRPr="001C0C6E" w:rsidRDefault="00C44510" w:rsidP="001046D1">
            <w:pPr>
              <w:jc w:val="right"/>
              <w:rPr>
                <w:rFonts w:cs="Arial"/>
                <w:b/>
              </w:rPr>
            </w:pPr>
            <w:r>
              <w:rPr>
                <w:rFonts w:cs="Arial"/>
                <w:b/>
              </w:rPr>
              <w:t>-0.</w:t>
            </w:r>
            <w:r w:rsidR="001046D1">
              <w:rPr>
                <w:rFonts w:cs="Arial"/>
                <w:b/>
              </w:rPr>
              <w:t>286</w:t>
            </w:r>
          </w:p>
        </w:tc>
        <w:tc>
          <w:tcPr>
            <w:tcW w:w="1440" w:type="dxa"/>
          </w:tcPr>
          <w:p w14:paraId="456C141F" w14:textId="099F10A3" w:rsidR="00763383" w:rsidRPr="001C0C6E" w:rsidRDefault="00C44510" w:rsidP="00B55F81">
            <w:pPr>
              <w:jc w:val="right"/>
              <w:rPr>
                <w:rFonts w:cs="Arial"/>
                <w:b/>
              </w:rPr>
            </w:pPr>
            <w:r>
              <w:rPr>
                <w:rFonts w:cs="Arial"/>
                <w:b/>
              </w:rPr>
              <w:t>0.204</w:t>
            </w:r>
          </w:p>
        </w:tc>
        <w:tc>
          <w:tcPr>
            <w:tcW w:w="1440" w:type="dxa"/>
          </w:tcPr>
          <w:p w14:paraId="5E4CC1E6" w14:textId="35422252" w:rsidR="00763383" w:rsidRPr="001C0C6E" w:rsidRDefault="00C44510" w:rsidP="00B55F81">
            <w:pPr>
              <w:jc w:val="right"/>
              <w:rPr>
                <w:rFonts w:cs="Arial"/>
                <w:b/>
              </w:rPr>
            </w:pPr>
            <w:r>
              <w:rPr>
                <w:rFonts w:cs="Arial"/>
                <w:b/>
              </w:rPr>
              <w:t>0.196</w:t>
            </w:r>
          </w:p>
        </w:tc>
        <w:tc>
          <w:tcPr>
            <w:tcW w:w="1440" w:type="dxa"/>
          </w:tcPr>
          <w:p w14:paraId="41B79030" w14:textId="452B63B4" w:rsidR="00763383" w:rsidRPr="001C0C6E" w:rsidRDefault="00C44510" w:rsidP="00B55F81">
            <w:pPr>
              <w:jc w:val="right"/>
              <w:rPr>
                <w:rFonts w:cs="Arial"/>
                <w:b/>
              </w:rPr>
            </w:pPr>
            <w:r>
              <w:rPr>
                <w:rFonts w:cs="Arial"/>
                <w:b/>
              </w:rPr>
              <w:t>0.196</w:t>
            </w:r>
          </w:p>
        </w:tc>
      </w:tr>
      <w:tr w:rsidR="00C44510" w:rsidRPr="001C0C6E" w14:paraId="39DE2FAB" w14:textId="77777777" w:rsidTr="00B55F81">
        <w:tc>
          <w:tcPr>
            <w:tcW w:w="3256" w:type="dxa"/>
          </w:tcPr>
          <w:p w14:paraId="3F0EFC97" w14:textId="1BD77F7A" w:rsidR="00C44510" w:rsidRDefault="00C44510" w:rsidP="00B55F81">
            <w:pPr>
              <w:rPr>
                <w:rFonts w:cs="Arial"/>
                <w:b/>
              </w:rPr>
            </w:pPr>
            <w:r>
              <w:rPr>
                <w:rFonts w:cs="Arial"/>
                <w:b/>
              </w:rPr>
              <w:t>Impact on funding gap</w:t>
            </w:r>
          </w:p>
        </w:tc>
        <w:tc>
          <w:tcPr>
            <w:tcW w:w="1440" w:type="dxa"/>
          </w:tcPr>
          <w:p w14:paraId="3CFD0FC3" w14:textId="0666CEB3" w:rsidR="00C44510" w:rsidRDefault="00C44510" w:rsidP="001046D1">
            <w:pPr>
              <w:jc w:val="right"/>
              <w:rPr>
                <w:rFonts w:cs="Arial"/>
                <w:b/>
              </w:rPr>
            </w:pPr>
            <w:r>
              <w:rPr>
                <w:rFonts w:cs="Arial"/>
                <w:b/>
              </w:rPr>
              <w:t>0.</w:t>
            </w:r>
            <w:r w:rsidR="001046D1">
              <w:rPr>
                <w:rFonts w:cs="Arial"/>
                <w:b/>
              </w:rPr>
              <w:t>286</w:t>
            </w:r>
          </w:p>
        </w:tc>
        <w:tc>
          <w:tcPr>
            <w:tcW w:w="1440" w:type="dxa"/>
          </w:tcPr>
          <w:p w14:paraId="53527CB0" w14:textId="311455B0" w:rsidR="00C44510" w:rsidRDefault="00247F92" w:rsidP="001046D1">
            <w:pPr>
              <w:jc w:val="right"/>
              <w:rPr>
                <w:rFonts w:cs="Arial"/>
                <w:b/>
              </w:rPr>
            </w:pPr>
            <w:r>
              <w:rPr>
                <w:rFonts w:cs="Arial"/>
                <w:b/>
              </w:rPr>
              <w:t>-</w:t>
            </w:r>
            <w:r w:rsidR="00C44510">
              <w:rPr>
                <w:rFonts w:cs="Arial"/>
                <w:b/>
              </w:rPr>
              <w:t>0.</w:t>
            </w:r>
            <w:r w:rsidR="001046D1">
              <w:rPr>
                <w:rFonts w:cs="Arial"/>
                <w:b/>
              </w:rPr>
              <w:t>490</w:t>
            </w:r>
          </w:p>
        </w:tc>
        <w:tc>
          <w:tcPr>
            <w:tcW w:w="1440" w:type="dxa"/>
          </w:tcPr>
          <w:p w14:paraId="1E864567" w14:textId="7427FE4D" w:rsidR="00C44510" w:rsidRPr="001C0C6E" w:rsidRDefault="00C44510" w:rsidP="00B55F81">
            <w:pPr>
              <w:jc w:val="right"/>
              <w:rPr>
                <w:rFonts w:cs="Arial"/>
                <w:b/>
              </w:rPr>
            </w:pPr>
            <w:r>
              <w:rPr>
                <w:rFonts w:cs="Arial"/>
                <w:b/>
              </w:rPr>
              <w:t>0.008</w:t>
            </w:r>
          </w:p>
        </w:tc>
        <w:tc>
          <w:tcPr>
            <w:tcW w:w="1440" w:type="dxa"/>
          </w:tcPr>
          <w:p w14:paraId="2021559D" w14:textId="4119116D" w:rsidR="00C44510" w:rsidRPr="001C0C6E" w:rsidRDefault="00C44510" w:rsidP="00B55F81">
            <w:pPr>
              <w:jc w:val="right"/>
              <w:rPr>
                <w:rFonts w:cs="Arial"/>
                <w:b/>
              </w:rPr>
            </w:pPr>
            <w:r>
              <w:rPr>
                <w:rFonts w:cs="Arial"/>
                <w:b/>
              </w:rPr>
              <w:t>0.000</w:t>
            </w:r>
          </w:p>
        </w:tc>
      </w:tr>
    </w:tbl>
    <w:p w14:paraId="0208765F" w14:textId="512D0650" w:rsidR="00DD5DD5" w:rsidRPr="00763383" w:rsidRDefault="00763383" w:rsidP="00C44510">
      <w:pPr>
        <w:spacing w:after="0"/>
        <w:rPr>
          <w:rFonts w:cs="Arial"/>
        </w:rPr>
      </w:pPr>
      <w:r>
        <w:rPr>
          <w:rFonts w:cs="Arial"/>
        </w:rPr>
        <w:t xml:space="preserve">  </w:t>
      </w:r>
    </w:p>
    <w:p w14:paraId="11CA0F3C" w14:textId="725EB33C" w:rsidR="00A32D45" w:rsidRPr="00882976" w:rsidRDefault="00A32D45" w:rsidP="00C44510">
      <w:pPr>
        <w:spacing w:after="0"/>
        <w:rPr>
          <w:rFonts w:cs="Arial"/>
          <w:b/>
          <w:u w:val="single"/>
        </w:rPr>
      </w:pPr>
      <w:r w:rsidRPr="00882976">
        <w:rPr>
          <w:rFonts w:cs="Arial"/>
          <w:b/>
          <w:u w:val="single"/>
        </w:rPr>
        <w:t>Better Care Fund</w:t>
      </w:r>
    </w:p>
    <w:p w14:paraId="71ECE08B" w14:textId="77777777" w:rsidR="00253119" w:rsidRDefault="00253119" w:rsidP="00C44510">
      <w:pPr>
        <w:spacing w:after="0"/>
        <w:rPr>
          <w:rFonts w:cs="Arial"/>
        </w:rPr>
      </w:pPr>
    </w:p>
    <w:p w14:paraId="276F27BD" w14:textId="360F0107" w:rsidR="00253119" w:rsidRDefault="00253119" w:rsidP="00C44510">
      <w:pPr>
        <w:spacing w:after="0"/>
        <w:rPr>
          <w:rFonts w:cs="Arial"/>
        </w:rPr>
      </w:pPr>
      <w:r>
        <w:rPr>
          <w:rFonts w:cs="Arial"/>
        </w:rPr>
        <w:t xml:space="preserve">Last year the Government announced a new Better Care Fund with an additional £1.5bn being provided by 2019/20 to support the cost of social care. The first allocation was due in 2017/18 with allocations increasing up to 2019/20. The provisional allocations within the </w:t>
      </w:r>
      <w:r w:rsidR="000E5472">
        <w:rPr>
          <w:rFonts w:cs="Arial"/>
        </w:rPr>
        <w:t xml:space="preserve">provisional </w:t>
      </w:r>
      <w:r>
        <w:rPr>
          <w:rFonts w:cs="Arial"/>
        </w:rPr>
        <w:t xml:space="preserve">settlement remained unchanged. </w:t>
      </w:r>
    </w:p>
    <w:p w14:paraId="405DF139" w14:textId="77777777" w:rsidR="006E401C" w:rsidRDefault="006E401C" w:rsidP="008676D4">
      <w:pPr>
        <w:spacing w:after="0"/>
        <w:rPr>
          <w:rFonts w:cs="Arial"/>
        </w:rPr>
      </w:pPr>
    </w:p>
    <w:p w14:paraId="47581BFB" w14:textId="77777777" w:rsidR="001A059C" w:rsidRDefault="001A059C" w:rsidP="008676D4">
      <w:pPr>
        <w:spacing w:after="0"/>
        <w:rPr>
          <w:rFonts w:cs="Arial"/>
        </w:rPr>
      </w:pPr>
    </w:p>
    <w:p w14:paraId="7159A998" w14:textId="0D0DB15D" w:rsidR="000E5472" w:rsidRDefault="000E5472" w:rsidP="008676D4">
      <w:pPr>
        <w:spacing w:after="0"/>
        <w:rPr>
          <w:rFonts w:cs="Arial"/>
          <w:b/>
          <w:u w:val="single"/>
        </w:rPr>
      </w:pPr>
      <w:r w:rsidRPr="000E5472">
        <w:rPr>
          <w:rFonts w:cs="Arial"/>
          <w:b/>
          <w:u w:val="single"/>
        </w:rPr>
        <w:lastRenderedPageBreak/>
        <w:t>Adult Care Support Grant</w:t>
      </w:r>
    </w:p>
    <w:p w14:paraId="19F30B6B" w14:textId="77777777" w:rsidR="000E5472" w:rsidRDefault="000E5472" w:rsidP="008676D4">
      <w:pPr>
        <w:spacing w:after="0"/>
        <w:rPr>
          <w:rFonts w:cs="Arial"/>
          <w:b/>
          <w:u w:val="single"/>
        </w:rPr>
      </w:pPr>
    </w:p>
    <w:p w14:paraId="1C09CC5C" w14:textId="34F7E910" w:rsidR="000E5472" w:rsidRPr="000E5472" w:rsidRDefault="000E5472" w:rsidP="008676D4">
      <w:pPr>
        <w:spacing w:after="0"/>
        <w:rPr>
          <w:rFonts w:cs="Arial"/>
          <w:b/>
          <w:u w:val="single"/>
        </w:rPr>
      </w:pPr>
      <w:r>
        <w:rPr>
          <w:rFonts w:cs="Arial"/>
        </w:rPr>
        <w:t>A key announcement by the Secretary of State as part of the provisional settlement was a new £240m Adult Care Support Grant for 2017/18 only with Lancashire County Council's indicative allocation being £5.543m.</w:t>
      </w:r>
      <w:r w:rsidR="00DD5DD5">
        <w:rPr>
          <w:rFonts w:cs="Arial"/>
        </w:rPr>
        <w:t xml:space="preserve"> This has been wholly funded by the changes that the Secretary of State announced in relation to New Homes Bonus allocations. </w:t>
      </w:r>
      <w:r>
        <w:rPr>
          <w:rFonts w:cs="Arial"/>
        </w:rPr>
        <w:t xml:space="preserve"> As this is new funding this has not previously been included in the MTFS, with the impact o</w:t>
      </w:r>
      <w:r w:rsidR="007D06DE">
        <w:rPr>
          <w:rFonts w:cs="Arial"/>
        </w:rPr>
        <w:t>n</w:t>
      </w:r>
      <w:r>
        <w:rPr>
          <w:rFonts w:cs="Arial"/>
        </w:rPr>
        <w:t xml:space="preserve"> the financial gap shown below:</w:t>
      </w:r>
    </w:p>
    <w:p w14:paraId="17CC20A9" w14:textId="77777777" w:rsidR="000E5472" w:rsidRDefault="000E5472" w:rsidP="008676D4">
      <w:pPr>
        <w:spacing w:after="0"/>
        <w:rPr>
          <w:rFonts w:cs="Arial"/>
        </w:rPr>
      </w:pPr>
    </w:p>
    <w:tbl>
      <w:tblPr>
        <w:tblStyle w:val="TableGrid"/>
        <w:tblW w:w="0" w:type="auto"/>
        <w:tblLook w:val="04A0" w:firstRow="1" w:lastRow="0" w:firstColumn="1" w:lastColumn="0" w:noHBand="0" w:noVBand="1"/>
      </w:tblPr>
      <w:tblGrid>
        <w:gridCol w:w="3256"/>
        <w:gridCol w:w="1440"/>
        <w:gridCol w:w="1440"/>
        <w:gridCol w:w="1440"/>
        <w:gridCol w:w="1440"/>
      </w:tblGrid>
      <w:tr w:rsidR="000E5472" w:rsidRPr="00CD1DFD" w14:paraId="0A4F4891" w14:textId="77777777" w:rsidTr="004F5A89">
        <w:tc>
          <w:tcPr>
            <w:tcW w:w="3256" w:type="dxa"/>
            <w:tcBorders>
              <w:bottom w:val="nil"/>
            </w:tcBorders>
            <w:shd w:val="clear" w:color="auto" w:fill="A6A6A6" w:themeFill="background1" w:themeFillShade="A6"/>
          </w:tcPr>
          <w:p w14:paraId="4906426D" w14:textId="77777777" w:rsidR="000E5472" w:rsidRPr="00CD1DFD" w:rsidRDefault="000E5472" w:rsidP="004F5A89">
            <w:pPr>
              <w:rPr>
                <w:rFonts w:cs="Arial"/>
              </w:rPr>
            </w:pPr>
          </w:p>
        </w:tc>
        <w:tc>
          <w:tcPr>
            <w:tcW w:w="1440" w:type="dxa"/>
            <w:tcBorders>
              <w:bottom w:val="nil"/>
            </w:tcBorders>
            <w:shd w:val="clear" w:color="auto" w:fill="A6A6A6" w:themeFill="background1" w:themeFillShade="A6"/>
          </w:tcPr>
          <w:p w14:paraId="102F3EA5" w14:textId="77777777" w:rsidR="000E5472" w:rsidRPr="00CD1DFD" w:rsidRDefault="000E5472" w:rsidP="004F5A89">
            <w:pPr>
              <w:jc w:val="center"/>
              <w:rPr>
                <w:rFonts w:cs="Arial"/>
                <w:b/>
              </w:rPr>
            </w:pPr>
            <w:r w:rsidRPr="00CD1DFD">
              <w:rPr>
                <w:rFonts w:cs="Arial"/>
                <w:b/>
              </w:rPr>
              <w:t>2017/18</w:t>
            </w:r>
          </w:p>
        </w:tc>
        <w:tc>
          <w:tcPr>
            <w:tcW w:w="1440" w:type="dxa"/>
            <w:tcBorders>
              <w:bottom w:val="nil"/>
            </w:tcBorders>
            <w:shd w:val="clear" w:color="auto" w:fill="A6A6A6" w:themeFill="background1" w:themeFillShade="A6"/>
          </w:tcPr>
          <w:p w14:paraId="7F82FAC2" w14:textId="77777777" w:rsidR="000E5472" w:rsidRPr="00CD1DFD" w:rsidRDefault="000E5472" w:rsidP="004F5A89">
            <w:pPr>
              <w:jc w:val="center"/>
              <w:rPr>
                <w:rFonts w:cs="Arial"/>
                <w:b/>
              </w:rPr>
            </w:pPr>
            <w:r w:rsidRPr="00CD1DFD">
              <w:rPr>
                <w:rFonts w:cs="Arial"/>
                <w:b/>
              </w:rPr>
              <w:t>2018/19</w:t>
            </w:r>
          </w:p>
        </w:tc>
        <w:tc>
          <w:tcPr>
            <w:tcW w:w="1440" w:type="dxa"/>
            <w:tcBorders>
              <w:bottom w:val="nil"/>
            </w:tcBorders>
            <w:shd w:val="clear" w:color="auto" w:fill="A6A6A6" w:themeFill="background1" w:themeFillShade="A6"/>
          </w:tcPr>
          <w:p w14:paraId="5EDAD4DE" w14:textId="77777777" w:rsidR="000E5472" w:rsidRPr="00CD1DFD" w:rsidRDefault="000E5472" w:rsidP="004F5A89">
            <w:pPr>
              <w:jc w:val="center"/>
              <w:rPr>
                <w:rFonts w:cs="Arial"/>
                <w:b/>
              </w:rPr>
            </w:pPr>
            <w:r w:rsidRPr="00CD1DFD">
              <w:rPr>
                <w:rFonts w:cs="Arial"/>
                <w:b/>
              </w:rPr>
              <w:t>2019/20</w:t>
            </w:r>
          </w:p>
        </w:tc>
        <w:tc>
          <w:tcPr>
            <w:tcW w:w="1440" w:type="dxa"/>
            <w:tcBorders>
              <w:bottom w:val="nil"/>
            </w:tcBorders>
            <w:shd w:val="clear" w:color="auto" w:fill="A6A6A6" w:themeFill="background1" w:themeFillShade="A6"/>
          </w:tcPr>
          <w:p w14:paraId="0C25342D" w14:textId="77777777" w:rsidR="000E5472" w:rsidRPr="00CD1DFD" w:rsidRDefault="000E5472" w:rsidP="004F5A89">
            <w:pPr>
              <w:jc w:val="center"/>
              <w:rPr>
                <w:rFonts w:cs="Arial"/>
                <w:b/>
              </w:rPr>
            </w:pPr>
            <w:r w:rsidRPr="00CD1DFD">
              <w:rPr>
                <w:rFonts w:cs="Arial"/>
                <w:b/>
              </w:rPr>
              <w:t>2020/21</w:t>
            </w:r>
          </w:p>
        </w:tc>
      </w:tr>
      <w:tr w:rsidR="000E5472" w:rsidRPr="00CD1DFD" w14:paraId="4493FE83" w14:textId="77777777" w:rsidTr="004F5A89">
        <w:tc>
          <w:tcPr>
            <w:tcW w:w="3256" w:type="dxa"/>
            <w:tcBorders>
              <w:top w:val="nil"/>
            </w:tcBorders>
            <w:shd w:val="clear" w:color="auto" w:fill="A6A6A6" w:themeFill="background1" w:themeFillShade="A6"/>
          </w:tcPr>
          <w:p w14:paraId="1E9F8838" w14:textId="77777777" w:rsidR="000E5472" w:rsidRPr="00CD1DFD" w:rsidRDefault="000E5472" w:rsidP="004F5A89">
            <w:pPr>
              <w:rPr>
                <w:rFonts w:cs="Arial"/>
              </w:rPr>
            </w:pPr>
          </w:p>
        </w:tc>
        <w:tc>
          <w:tcPr>
            <w:tcW w:w="1440" w:type="dxa"/>
            <w:tcBorders>
              <w:top w:val="nil"/>
            </w:tcBorders>
            <w:shd w:val="clear" w:color="auto" w:fill="A6A6A6" w:themeFill="background1" w:themeFillShade="A6"/>
          </w:tcPr>
          <w:p w14:paraId="69397FE4" w14:textId="77777777" w:rsidR="000E5472" w:rsidRPr="00CD1DFD" w:rsidRDefault="000E5472" w:rsidP="004F5A89">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5DEC4CD4" w14:textId="77777777" w:rsidR="000E5472" w:rsidRPr="00CD1DFD" w:rsidRDefault="000E5472" w:rsidP="004F5A89">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4D4C5CA6" w14:textId="77777777" w:rsidR="000E5472" w:rsidRPr="00CD1DFD" w:rsidRDefault="000E5472" w:rsidP="004F5A89">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058B1AE9" w14:textId="77777777" w:rsidR="000E5472" w:rsidRPr="00CD1DFD" w:rsidRDefault="000E5472" w:rsidP="004F5A89">
            <w:pPr>
              <w:jc w:val="center"/>
              <w:rPr>
                <w:rFonts w:cs="Arial"/>
                <w:b/>
              </w:rPr>
            </w:pPr>
            <w:r w:rsidRPr="00CD1DFD">
              <w:rPr>
                <w:rFonts w:cs="Arial"/>
                <w:b/>
              </w:rPr>
              <w:t>£m</w:t>
            </w:r>
          </w:p>
        </w:tc>
      </w:tr>
      <w:tr w:rsidR="000E5472" w:rsidRPr="00CD1DFD" w14:paraId="4A090761" w14:textId="77777777" w:rsidTr="004F5A89">
        <w:tc>
          <w:tcPr>
            <w:tcW w:w="3256" w:type="dxa"/>
          </w:tcPr>
          <w:p w14:paraId="7C97C552" w14:textId="3BC29A0D" w:rsidR="000E5472" w:rsidRPr="00CD1DFD" w:rsidRDefault="000E5472" w:rsidP="004F5A89">
            <w:pPr>
              <w:jc w:val="left"/>
              <w:rPr>
                <w:rFonts w:cs="Arial"/>
              </w:rPr>
            </w:pPr>
            <w:r>
              <w:rPr>
                <w:rFonts w:cs="Arial"/>
              </w:rPr>
              <w:t>Adult Care Support Grant – provisional settlement</w:t>
            </w:r>
          </w:p>
        </w:tc>
        <w:tc>
          <w:tcPr>
            <w:tcW w:w="1440" w:type="dxa"/>
          </w:tcPr>
          <w:p w14:paraId="6579E3E8" w14:textId="5127AFE5" w:rsidR="000E5472" w:rsidRPr="00CD1DFD" w:rsidRDefault="000E5472" w:rsidP="004F5A89">
            <w:pPr>
              <w:jc w:val="right"/>
              <w:rPr>
                <w:rFonts w:cs="Arial"/>
              </w:rPr>
            </w:pPr>
            <w:r>
              <w:rPr>
                <w:rFonts w:cs="Arial"/>
              </w:rPr>
              <w:t>5.543</w:t>
            </w:r>
          </w:p>
        </w:tc>
        <w:tc>
          <w:tcPr>
            <w:tcW w:w="1440" w:type="dxa"/>
          </w:tcPr>
          <w:p w14:paraId="102924B5" w14:textId="353C28FF" w:rsidR="000E5472" w:rsidRPr="00CD1DFD" w:rsidRDefault="000E5472" w:rsidP="004F5A89">
            <w:pPr>
              <w:jc w:val="right"/>
              <w:rPr>
                <w:rFonts w:cs="Arial"/>
              </w:rPr>
            </w:pPr>
            <w:r>
              <w:rPr>
                <w:rFonts w:cs="Arial"/>
              </w:rPr>
              <w:t>0.000</w:t>
            </w:r>
          </w:p>
        </w:tc>
        <w:tc>
          <w:tcPr>
            <w:tcW w:w="1440" w:type="dxa"/>
          </w:tcPr>
          <w:p w14:paraId="1571FD09" w14:textId="1D4E3A54" w:rsidR="000E5472" w:rsidRPr="00CD1DFD" w:rsidRDefault="000E5472" w:rsidP="004F5A89">
            <w:pPr>
              <w:jc w:val="right"/>
              <w:rPr>
                <w:rFonts w:cs="Arial"/>
              </w:rPr>
            </w:pPr>
            <w:r>
              <w:rPr>
                <w:rFonts w:cs="Arial"/>
              </w:rPr>
              <w:t>0.000</w:t>
            </w:r>
          </w:p>
        </w:tc>
        <w:tc>
          <w:tcPr>
            <w:tcW w:w="1440" w:type="dxa"/>
          </w:tcPr>
          <w:p w14:paraId="51050E79" w14:textId="3E4D873F" w:rsidR="000E5472" w:rsidRPr="00CD1DFD" w:rsidRDefault="000E5472" w:rsidP="004F5A89">
            <w:pPr>
              <w:jc w:val="right"/>
              <w:rPr>
                <w:rFonts w:cs="Arial"/>
              </w:rPr>
            </w:pPr>
            <w:r>
              <w:rPr>
                <w:rFonts w:cs="Arial"/>
              </w:rPr>
              <w:t>0.000</w:t>
            </w:r>
          </w:p>
        </w:tc>
      </w:tr>
      <w:tr w:rsidR="000E5472" w:rsidRPr="00CD1DFD" w14:paraId="3FE32FB3" w14:textId="77777777" w:rsidTr="004F5A89">
        <w:tc>
          <w:tcPr>
            <w:tcW w:w="3256" w:type="dxa"/>
          </w:tcPr>
          <w:p w14:paraId="576D02C2" w14:textId="00BEDA80" w:rsidR="000E5472" w:rsidRPr="00CD1DFD" w:rsidRDefault="000E5472" w:rsidP="004F5A89">
            <w:pPr>
              <w:jc w:val="left"/>
              <w:rPr>
                <w:rFonts w:cs="Arial"/>
              </w:rPr>
            </w:pPr>
            <w:r>
              <w:rPr>
                <w:rFonts w:cs="Arial"/>
              </w:rPr>
              <w:t>Adult Care Support Grant -  previous MTFS</w:t>
            </w:r>
          </w:p>
        </w:tc>
        <w:tc>
          <w:tcPr>
            <w:tcW w:w="1440" w:type="dxa"/>
          </w:tcPr>
          <w:p w14:paraId="0C0FA33F" w14:textId="534BB741" w:rsidR="000E5472" w:rsidRPr="00CD1DFD" w:rsidRDefault="000E5472" w:rsidP="004F5A89">
            <w:pPr>
              <w:jc w:val="right"/>
              <w:rPr>
                <w:rFonts w:cs="Arial"/>
              </w:rPr>
            </w:pPr>
            <w:r>
              <w:rPr>
                <w:rFonts w:cs="Arial"/>
              </w:rPr>
              <w:t>0.000</w:t>
            </w:r>
          </w:p>
        </w:tc>
        <w:tc>
          <w:tcPr>
            <w:tcW w:w="1440" w:type="dxa"/>
          </w:tcPr>
          <w:p w14:paraId="4EF66866" w14:textId="20C25F81" w:rsidR="000E5472" w:rsidRPr="00CD1DFD" w:rsidRDefault="000E5472" w:rsidP="004F5A89">
            <w:pPr>
              <w:jc w:val="right"/>
              <w:rPr>
                <w:rFonts w:cs="Arial"/>
              </w:rPr>
            </w:pPr>
            <w:r>
              <w:rPr>
                <w:rFonts w:cs="Arial"/>
              </w:rPr>
              <w:t>0.000</w:t>
            </w:r>
          </w:p>
        </w:tc>
        <w:tc>
          <w:tcPr>
            <w:tcW w:w="1440" w:type="dxa"/>
          </w:tcPr>
          <w:p w14:paraId="5E0FF9F4" w14:textId="54F0A922" w:rsidR="000E5472" w:rsidRPr="00CD1DFD" w:rsidRDefault="000E5472" w:rsidP="004F5A89">
            <w:pPr>
              <w:jc w:val="right"/>
              <w:rPr>
                <w:rFonts w:cs="Arial"/>
              </w:rPr>
            </w:pPr>
            <w:r>
              <w:rPr>
                <w:rFonts w:cs="Arial"/>
              </w:rPr>
              <w:t>0.000</w:t>
            </w:r>
          </w:p>
        </w:tc>
        <w:tc>
          <w:tcPr>
            <w:tcW w:w="1440" w:type="dxa"/>
          </w:tcPr>
          <w:p w14:paraId="25F4EADF" w14:textId="1035F95B" w:rsidR="000E5472" w:rsidRPr="00CD1DFD" w:rsidRDefault="000E5472" w:rsidP="004F5A89">
            <w:pPr>
              <w:jc w:val="right"/>
              <w:rPr>
                <w:rFonts w:cs="Arial"/>
              </w:rPr>
            </w:pPr>
            <w:r>
              <w:rPr>
                <w:rFonts w:cs="Arial"/>
              </w:rPr>
              <w:t>0.000</w:t>
            </w:r>
          </w:p>
        </w:tc>
      </w:tr>
      <w:tr w:rsidR="000E5472" w:rsidRPr="001C0C6E" w14:paraId="09CC23E3" w14:textId="77777777" w:rsidTr="004F5A89">
        <w:tc>
          <w:tcPr>
            <w:tcW w:w="3256" w:type="dxa"/>
          </w:tcPr>
          <w:p w14:paraId="09A9B2D5" w14:textId="77777777" w:rsidR="000E5472" w:rsidRPr="001C0C6E" w:rsidRDefault="000E5472" w:rsidP="004F5A89">
            <w:pPr>
              <w:rPr>
                <w:rFonts w:cs="Arial"/>
                <w:b/>
              </w:rPr>
            </w:pPr>
            <w:r>
              <w:rPr>
                <w:rFonts w:cs="Arial"/>
                <w:b/>
              </w:rPr>
              <w:t>Difference</w:t>
            </w:r>
          </w:p>
        </w:tc>
        <w:tc>
          <w:tcPr>
            <w:tcW w:w="1440" w:type="dxa"/>
          </w:tcPr>
          <w:p w14:paraId="4E3E4FD3" w14:textId="77777777" w:rsidR="000E5472" w:rsidRPr="001C0C6E" w:rsidRDefault="000E5472" w:rsidP="004F5A89">
            <w:pPr>
              <w:jc w:val="right"/>
              <w:rPr>
                <w:rFonts w:cs="Arial"/>
                <w:b/>
              </w:rPr>
            </w:pPr>
            <w:r>
              <w:rPr>
                <w:rFonts w:cs="Arial"/>
                <w:b/>
              </w:rPr>
              <w:t>5.543</w:t>
            </w:r>
          </w:p>
        </w:tc>
        <w:tc>
          <w:tcPr>
            <w:tcW w:w="1440" w:type="dxa"/>
          </w:tcPr>
          <w:p w14:paraId="47891F34" w14:textId="77777777" w:rsidR="000E5472" w:rsidRPr="001C0C6E" w:rsidRDefault="000E5472" w:rsidP="004F5A89">
            <w:pPr>
              <w:jc w:val="right"/>
              <w:rPr>
                <w:rFonts w:cs="Arial"/>
                <w:b/>
              </w:rPr>
            </w:pPr>
            <w:r>
              <w:rPr>
                <w:rFonts w:cs="Arial"/>
                <w:b/>
              </w:rPr>
              <w:t>0.000</w:t>
            </w:r>
          </w:p>
        </w:tc>
        <w:tc>
          <w:tcPr>
            <w:tcW w:w="1440" w:type="dxa"/>
          </w:tcPr>
          <w:p w14:paraId="727EE7A7" w14:textId="77777777" w:rsidR="000E5472" w:rsidRPr="001C0C6E" w:rsidRDefault="000E5472" w:rsidP="004F5A89">
            <w:pPr>
              <w:jc w:val="right"/>
              <w:rPr>
                <w:rFonts w:cs="Arial"/>
                <w:b/>
              </w:rPr>
            </w:pPr>
            <w:r>
              <w:rPr>
                <w:rFonts w:cs="Arial"/>
                <w:b/>
              </w:rPr>
              <w:t>0.000</w:t>
            </w:r>
          </w:p>
        </w:tc>
        <w:tc>
          <w:tcPr>
            <w:tcW w:w="1440" w:type="dxa"/>
          </w:tcPr>
          <w:p w14:paraId="0989E2BD" w14:textId="77777777" w:rsidR="000E5472" w:rsidRPr="001C0C6E" w:rsidRDefault="000E5472" w:rsidP="004F5A89">
            <w:pPr>
              <w:jc w:val="right"/>
              <w:rPr>
                <w:rFonts w:cs="Arial"/>
                <w:b/>
              </w:rPr>
            </w:pPr>
            <w:r>
              <w:rPr>
                <w:rFonts w:cs="Arial"/>
                <w:b/>
              </w:rPr>
              <w:t>0.000</w:t>
            </w:r>
          </w:p>
        </w:tc>
      </w:tr>
      <w:tr w:rsidR="000E5472" w:rsidRPr="001C0C6E" w14:paraId="0CADDD7C" w14:textId="77777777" w:rsidTr="004F5A89">
        <w:tc>
          <w:tcPr>
            <w:tcW w:w="3256" w:type="dxa"/>
          </w:tcPr>
          <w:p w14:paraId="778969EB" w14:textId="77777777" w:rsidR="000E5472" w:rsidRDefault="000E5472" w:rsidP="004F5A89">
            <w:pPr>
              <w:rPr>
                <w:rFonts w:cs="Arial"/>
                <w:b/>
              </w:rPr>
            </w:pPr>
            <w:r>
              <w:rPr>
                <w:rFonts w:cs="Arial"/>
                <w:b/>
              </w:rPr>
              <w:t>Impact on funding gap</w:t>
            </w:r>
          </w:p>
        </w:tc>
        <w:tc>
          <w:tcPr>
            <w:tcW w:w="1440" w:type="dxa"/>
          </w:tcPr>
          <w:p w14:paraId="6DB14DE3" w14:textId="77777777" w:rsidR="000E5472" w:rsidRDefault="000E5472" w:rsidP="004F5A89">
            <w:pPr>
              <w:jc w:val="right"/>
              <w:rPr>
                <w:rFonts w:cs="Arial"/>
                <w:b/>
              </w:rPr>
            </w:pPr>
            <w:r>
              <w:rPr>
                <w:rFonts w:cs="Arial"/>
                <w:b/>
              </w:rPr>
              <w:t>-5.543</w:t>
            </w:r>
          </w:p>
        </w:tc>
        <w:tc>
          <w:tcPr>
            <w:tcW w:w="1440" w:type="dxa"/>
          </w:tcPr>
          <w:p w14:paraId="4605DE7F" w14:textId="77777777" w:rsidR="000E5472" w:rsidRDefault="000E5472" w:rsidP="004F5A89">
            <w:pPr>
              <w:jc w:val="right"/>
              <w:rPr>
                <w:rFonts w:cs="Arial"/>
                <w:b/>
              </w:rPr>
            </w:pPr>
            <w:r>
              <w:rPr>
                <w:rFonts w:cs="Arial"/>
                <w:b/>
              </w:rPr>
              <w:t>5.543</w:t>
            </w:r>
          </w:p>
        </w:tc>
        <w:tc>
          <w:tcPr>
            <w:tcW w:w="1440" w:type="dxa"/>
          </w:tcPr>
          <w:p w14:paraId="6A3590AA" w14:textId="77777777" w:rsidR="000E5472" w:rsidRPr="001C0C6E" w:rsidRDefault="000E5472" w:rsidP="004F5A89">
            <w:pPr>
              <w:jc w:val="right"/>
              <w:rPr>
                <w:rFonts w:cs="Arial"/>
                <w:b/>
              </w:rPr>
            </w:pPr>
            <w:r>
              <w:rPr>
                <w:rFonts w:cs="Arial"/>
                <w:b/>
              </w:rPr>
              <w:t>0.000</w:t>
            </w:r>
          </w:p>
        </w:tc>
        <w:tc>
          <w:tcPr>
            <w:tcW w:w="1440" w:type="dxa"/>
          </w:tcPr>
          <w:p w14:paraId="23FBC47E" w14:textId="77777777" w:rsidR="000E5472" w:rsidRPr="001C0C6E" w:rsidRDefault="000E5472" w:rsidP="004F5A89">
            <w:pPr>
              <w:jc w:val="right"/>
              <w:rPr>
                <w:rFonts w:cs="Arial"/>
                <w:b/>
              </w:rPr>
            </w:pPr>
            <w:r>
              <w:rPr>
                <w:rFonts w:cs="Arial"/>
                <w:b/>
              </w:rPr>
              <w:t>0.000</w:t>
            </w:r>
          </w:p>
        </w:tc>
      </w:tr>
    </w:tbl>
    <w:p w14:paraId="3509837E" w14:textId="77777777" w:rsidR="000E5472" w:rsidRPr="000E5472" w:rsidRDefault="000E5472" w:rsidP="008676D4">
      <w:pPr>
        <w:spacing w:after="0"/>
        <w:rPr>
          <w:rFonts w:cs="Arial"/>
          <w:b/>
        </w:rPr>
      </w:pPr>
    </w:p>
    <w:p w14:paraId="73C6E63C" w14:textId="6EFBE48B" w:rsidR="009A4411" w:rsidRDefault="006E401C" w:rsidP="006E401C">
      <w:pPr>
        <w:spacing w:after="0"/>
        <w:rPr>
          <w:rFonts w:cs="Arial"/>
          <w:b/>
          <w:u w:val="single"/>
        </w:rPr>
      </w:pPr>
      <w:r w:rsidRPr="00882976">
        <w:rPr>
          <w:rFonts w:cs="Arial"/>
          <w:b/>
          <w:u w:val="single"/>
        </w:rPr>
        <w:t>Capital Receipts</w:t>
      </w:r>
    </w:p>
    <w:p w14:paraId="2DEDDC63" w14:textId="77777777" w:rsidR="002C6581" w:rsidRPr="00882976" w:rsidRDefault="002C6581" w:rsidP="006E401C">
      <w:pPr>
        <w:spacing w:after="0"/>
        <w:rPr>
          <w:rFonts w:cs="Arial"/>
          <w:b/>
          <w:u w:val="single"/>
        </w:rPr>
      </w:pPr>
    </w:p>
    <w:p w14:paraId="03E41C4D" w14:textId="382A1D9F" w:rsidR="009A4411" w:rsidRPr="00882976" w:rsidRDefault="009A4411" w:rsidP="009A4411">
      <w:pPr>
        <w:tabs>
          <w:tab w:val="left" w:pos="567"/>
          <w:tab w:val="left" w:pos="1134"/>
        </w:tabs>
        <w:spacing w:after="0"/>
        <w:rPr>
          <w:rFonts w:cs="Arial"/>
        </w:rPr>
      </w:pPr>
      <w:r w:rsidRPr="00882976">
        <w:rPr>
          <w:rFonts w:cs="Arial"/>
        </w:rPr>
        <w:t xml:space="preserve">As part of the </w:t>
      </w:r>
      <w:r w:rsidR="001046D1">
        <w:rPr>
          <w:rFonts w:cs="Arial"/>
        </w:rPr>
        <w:t xml:space="preserve">2015 </w:t>
      </w:r>
      <w:r w:rsidRPr="00882976">
        <w:rPr>
          <w:rFonts w:cs="Arial"/>
        </w:rPr>
        <w:t xml:space="preserve">Autumn Statement the Chancellor of the Exchequer announced that the rules for the use of capital receipts, which is the income received from the sale of the County Council's fixed assets, were to be amended to help local authorities deliver more efficient and sustainable services. </w:t>
      </w:r>
      <w:r w:rsidR="00E3540A" w:rsidRPr="00882976">
        <w:rPr>
          <w:rFonts w:cs="Arial"/>
        </w:rPr>
        <w:t xml:space="preserve">Previously </w:t>
      </w:r>
      <w:r w:rsidRPr="00882976">
        <w:rPr>
          <w:rFonts w:cs="Arial"/>
        </w:rPr>
        <w:t xml:space="preserve">the use of capital receipts </w:t>
      </w:r>
      <w:r w:rsidR="00E3540A" w:rsidRPr="00882976">
        <w:rPr>
          <w:rFonts w:cs="Arial"/>
        </w:rPr>
        <w:t>has been</w:t>
      </w:r>
      <w:r w:rsidRPr="00882976">
        <w:rPr>
          <w:rFonts w:cs="Arial"/>
        </w:rPr>
        <w:t xml:space="preserve"> restricted to the funding of capital expenditure or the repayment of debt. From 1 April 2016 capital receipts can be used to fund revenue expenditure which meets qualifying criteria</w:t>
      </w:r>
      <w:r w:rsidR="00E3540A" w:rsidRPr="00882976">
        <w:rPr>
          <w:rFonts w:cs="Arial"/>
        </w:rPr>
        <w:t xml:space="preserve">, which is that </w:t>
      </w:r>
      <w:r w:rsidRPr="00882976">
        <w:rPr>
          <w:rFonts w:cs="Arial"/>
        </w:rPr>
        <w:t>the revenue expenditure needs to be on any project which is designed to generate ongoing revenue savings or to transform the service so as to make savings or improve the quality of service provision.</w:t>
      </w:r>
    </w:p>
    <w:p w14:paraId="611E6E64" w14:textId="77777777" w:rsidR="009A4411" w:rsidRPr="00882976" w:rsidRDefault="009A4411" w:rsidP="009A4411">
      <w:pPr>
        <w:tabs>
          <w:tab w:val="left" w:pos="567"/>
          <w:tab w:val="left" w:pos="1134"/>
        </w:tabs>
        <w:spacing w:after="0"/>
        <w:rPr>
          <w:rFonts w:cs="Arial"/>
        </w:rPr>
      </w:pPr>
    </w:p>
    <w:p w14:paraId="677DE9E9" w14:textId="77777777" w:rsidR="009A4411" w:rsidRPr="00882976" w:rsidRDefault="009A4411" w:rsidP="009A4411">
      <w:pPr>
        <w:tabs>
          <w:tab w:val="left" w:pos="567"/>
          <w:tab w:val="left" w:pos="1134"/>
        </w:tabs>
        <w:spacing w:after="0"/>
        <w:rPr>
          <w:rFonts w:cs="Arial"/>
        </w:rPr>
      </w:pPr>
      <w:r w:rsidRPr="00882976">
        <w:rPr>
          <w:rFonts w:cs="Arial"/>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reform. </w:t>
      </w:r>
    </w:p>
    <w:p w14:paraId="64838BF3" w14:textId="77777777" w:rsidR="009A4411" w:rsidRPr="00882976" w:rsidRDefault="009A4411" w:rsidP="009A4411">
      <w:pPr>
        <w:tabs>
          <w:tab w:val="left" w:pos="567"/>
          <w:tab w:val="left" w:pos="1134"/>
        </w:tabs>
        <w:spacing w:after="0"/>
        <w:rPr>
          <w:rFonts w:cs="Arial"/>
        </w:rPr>
      </w:pPr>
    </w:p>
    <w:p w14:paraId="259CD03B" w14:textId="77777777" w:rsidR="009A4411" w:rsidRPr="00882976" w:rsidRDefault="009A4411" w:rsidP="009A4411">
      <w:pPr>
        <w:tabs>
          <w:tab w:val="left" w:pos="567"/>
          <w:tab w:val="left" w:pos="1134"/>
        </w:tabs>
        <w:spacing w:after="0"/>
        <w:rPr>
          <w:rFonts w:cs="Arial"/>
        </w:rPr>
      </w:pPr>
      <w:r w:rsidRPr="00882976">
        <w:rPr>
          <w:rFonts w:cs="Arial"/>
        </w:rPr>
        <w:t>Current estimates of the capital receipts to be generated are:</w:t>
      </w:r>
    </w:p>
    <w:p w14:paraId="0BED30F1" w14:textId="77777777" w:rsidR="009A4411" w:rsidRPr="00882976" w:rsidRDefault="009A4411" w:rsidP="009A4411">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2246"/>
        <w:gridCol w:w="2246"/>
        <w:gridCol w:w="2246"/>
        <w:gridCol w:w="2246"/>
      </w:tblGrid>
      <w:tr w:rsidR="009A4411" w:rsidRPr="00882976" w14:paraId="098E31AD" w14:textId="77777777" w:rsidTr="00AC67F1">
        <w:trPr>
          <w:trHeight w:val="236"/>
        </w:trPr>
        <w:tc>
          <w:tcPr>
            <w:tcW w:w="2246" w:type="dxa"/>
            <w:shd w:val="clear" w:color="auto" w:fill="BFBFBF" w:themeFill="background1" w:themeFillShade="BF"/>
          </w:tcPr>
          <w:p w14:paraId="257B484C" w14:textId="77777777" w:rsidR="009A4411" w:rsidRPr="00882976" w:rsidRDefault="009A4411" w:rsidP="00AC67F1">
            <w:pPr>
              <w:tabs>
                <w:tab w:val="left" w:pos="567"/>
                <w:tab w:val="left" w:pos="1134"/>
              </w:tabs>
              <w:spacing w:after="0"/>
              <w:rPr>
                <w:rFonts w:cs="Arial"/>
                <w:b/>
              </w:rPr>
            </w:pPr>
          </w:p>
        </w:tc>
        <w:tc>
          <w:tcPr>
            <w:tcW w:w="2246" w:type="dxa"/>
            <w:shd w:val="clear" w:color="auto" w:fill="BFBFBF" w:themeFill="background1" w:themeFillShade="BF"/>
          </w:tcPr>
          <w:p w14:paraId="05914EAD" w14:textId="77777777" w:rsidR="009A4411" w:rsidRPr="00882976" w:rsidRDefault="009A4411" w:rsidP="00AC67F1">
            <w:pPr>
              <w:tabs>
                <w:tab w:val="left" w:pos="567"/>
                <w:tab w:val="left" w:pos="1134"/>
              </w:tabs>
              <w:spacing w:after="0"/>
              <w:jc w:val="center"/>
              <w:rPr>
                <w:rFonts w:cs="Arial"/>
                <w:b/>
              </w:rPr>
            </w:pPr>
            <w:r w:rsidRPr="00882976">
              <w:rPr>
                <w:rFonts w:cs="Arial"/>
                <w:b/>
              </w:rPr>
              <w:t>2016/17</w:t>
            </w:r>
          </w:p>
          <w:p w14:paraId="3283E5C4" w14:textId="77777777" w:rsidR="009A4411" w:rsidRPr="00882976" w:rsidRDefault="009A4411" w:rsidP="00AC67F1">
            <w:pPr>
              <w:tabs>
                <w:tab w:val="left" w:pos="567"/>
                <w:tab w:val="left" w:pos="1134"/>
              </w:tabs>
              <w:spacing w:after="0"/>
              <w:jc w:val="center"/>
              <w:rPr>
                <w:rFonts w:cs="Arial"/>
                <w:b/>
              </w:rPr>
            </w:pPr>
            <w:r w:rsidRPr="00882976">
              <w:rPr>
                <w:rFonts w:cs="Arial"/>
                <w:b/>
              </w:rPr>
              <w:t>£m</w:t>
            </w:r>
          </w:p>
        </w:tc>
        <w:tc>
          <w:tcPr>
            <w:tcW w:w="2246" w:type="dxa"/>
            <w:shd w:val="clear" w:color="auto" w:fill="BFBFBF" w:themeFill="background1" w:themeFillShade="BF"/>
          </w:tcPr>
          <w:p w14:paraId="09125C69" w14:textId="77777777" w:rsidR="009A4411" w:rsidRPr="00882976" w:rsidRDefault="009A4411" w:rsidP="00AC67F1">
            <w:pPr>
              <w:tabs>
                <w:tab w:val="left" w:pos="567"/>
                <w:tab w:val="left" w:pos="1134"/>
              </w:tabs>
              <w:spacing w:after="0"/>
              <w:jc w:val="center"/>
              <w:rPr>
                <w:rFonts w:cs="Arial"/>
                <w:b/>
              </w:rPr>
            </w:pPr>
            <w:r w:rsidRPr="00882976">
              <w:rPr>
                <w:rFonts w:cs="Arial"/>
                <w:b/>
              </w:rPr>
              <w:t>2017/18</w:t>
            </w:r>
          </w:p>
          <w:p w14:paraId="206FD135" w14:textId="77777777" w:rsidR="009A4411" w:rsidRPr="00882976" w:rsidRDefault="009A4411" w:rsidP="00AC67F1">
            <w:pPr>
              <w:tabs>
                <w:tab w:val="left" w:pos="567"/>
                <w:tab w:val="left" w:pos="1134"/>
              </w:tabs>
              <w:spacing w:after="0"/>
              <w:jc w:val="center"/>
              <w:rPr>
                <w:rFonts w:cs="Arial"/>
                <w:b/>
              </w:rPr>
            </w:pPr>
            <w:r w:rsidRPr="00882976">
              <w:rPr>
                <w:rFonts w:cs="Arial"/>
                <w:b/>
              </w:rPr>
              <w:t>£m</w:t>
            </w:r>
          </w:p>
        </w:tc>
        <w:tc>
          <w:tcPr>
            <w:tcW w:w="2246" w:type="dxa"/>
            <w:shd w:val="clear" w:color="auto" w:fill="BFBFBF" w:themeFill="background1" w:themeFillShade="BF"/>
          </w:tcPr>
          <w:p w14:paraId="7CB9A668" w14:textId="77777777" w:rsidR="009A4411" w:rsidRPr="00882976" w:rsidRDefault="009A4411" w:rsidP="00AC67F1">
            <w:pPr>
              <w:tabs>
                <w:tab w:val="left" w:pos="567"/>
                <w:tab w:val="left" w:pos="1134"/>
              </w:tabs>
              <w:spacing w:after="0"/>
              <w:jc w:val="center"/>
              <w:rPr>
                <w:rFonts w:cs="Arial"/>
                <w:b/>
              </w:rPr>
            </w:pPr>
            <w:r w:rsidRPr="00882976">
              <w:rPr>
                <w:rFonts w:cs="Arial"/>
                <w:b/>
              </w:rPr>
              <w:t>2018/19</w:t>
            </w:r>
          </w:p>
          <w:p w14:paraId="7931E0E9" w14:textId="77777777" w:rsidR="009A4411" w:rsidRPr="00882976" w:rsidRDefault="009A4411" w:rsidP="00AC67F1">
            <w:pPr>
              <w:tabs>
                <w:tab w:val="left" w:pos="567"/>
                <w:tab w:val="left" w:pos="1134"/>
              </w:tabs>
              <w:spacing w:after="0"/>
              <w:jc w:val="center"/>
              <w:rPr>
                <w:rFonts w:cs="Arial"/>
                <w:b/>
              </w:rPr>
            </w:pPr>
            <w:r w:rsidRPr="00882976">
              <w:rPr>
                <w:rFonts w:cs="Arial"/>
                <w:b/>
              </w:rPr>
              <w:t>£m</w:t>
            </w:r>
          </w:p>
        </w:tc>
      </w:tr>
      <w:tr w:rsidR="009A4411" w:rsidRPr="00882976" w14:paraId="2DF5A2B5" w14:textId="77777777" w:rsidTr="00AC67F1">
        <w:trPr>
          <w:trHeight w:val="579"/>
        </w:trPr>
        <w:tc>
          <w:tcPr>
            <w:tcW w:w="2246" w:type="dxa"/>
            <w:vAlign w:val="center"/>
          </w:tcPr>
          <w:p w14:paraId="2F146409" w14:textId="77777777" w:rsidR="009A4411" w:rsidRPr="00882976" w:rsidRDefault="009A4411" w:rsidP="00AC67F1">
            <w:pPr>
              <w:tabs>
                <w:tab w:val="left" w:pos="567"/>
                <w:tab w:val="left" w:pos="1134"/>
              </w:tabs>
              <w:spacing w:after="0"/>
              <w:jc w:val="left"/>
              <w:rPr>
                <w:rFonts w:cs="Arial"/>
              </w:rPr>
            </w:pPr>
            <w:r w:rsidRPr="00882976">
              <w:rPr>
                <w:rFonts w:cs="Arial"/>
              </w:rPr>
              <w:t>Capital receipts generated</w:t>
            </w:r>
          </w:p>
        </w:tc>
        <w:tc>
          <w:tcPr>
            <w:tcW w:w="2246" w:type="dxa"/>
            <w:vAlign w:val="center"/>
          </w:tcPr>
          <w:p w14:paraId="3C4E6ADC" w14:textId="79E13277" w:rsidR="009A4411" w:rsidRPr="00882976" w:rsidRDefault="009A4411" w:rsidP="00AC67F1">
            <w:pPr>
              <w:tabs>
                <w:tab w:val="left" w:pos="567"/>
                <w:tab w:val="left" w:pos="1134"/>
              </w:tabs>
              <w:spacing w:after="0"/>
              <w:jc w:val="center"/>
              <w:rPr>
                <w:rFonts w:cs="Arial"/>
              </w:rPr>
            </w:pPr>
            <w:r w:rsidRPr="00882976">
              <w:rPr>
                <w:rFonts w:cs="Arial"/>
              </w:rPr>
              <w:t>5.0</w:t>
            </w:r>
            <w:r w:rsidR="001E485A" w:rsidRPr="00882976">
              <w:rPr>
                <w:rFonts w:cs="Arial"/>
              </w:rPr>
              <w:t>00</w:t>
            </w:r>
          </w:p>
        </w:tc>
        <w:tc>
          <w:tcPr>
            <w:tcW w:w="2246" w:type="dxa"/>
            <w:vAlign w:val="center"/>
          </w:tcPr>
          <w:p w14:paraId="27665F9A" w14:textId="4F59F82A" w:rsidR="009A4411" w:rsidRPr="00882976" w:rsidRDefault="009A4411" w:rsidP="00AC67F1">
            <w:pPr>
              <w:tabs>
                <w:tab w:val="left" w:pos="567"/>
                <w:tab w:val="left" w:pos="1134"/>
              </w:tabs>
              <w:spacing w:after="0"/>
              <w:jc w:val="center"/>
              <w:rPr>
                <w:rFonts w:cs="Arial"/>
              </w:rPr>
            </w:pPr>
            <w:r w:rsidRPr="00882976">
              <w:rPr>
                <w:rFonts w:cs="Arial"/>
              </w:rPr>
              <w:t>12.5</w:t>
            </w:r>
            <w:r w:rsidR="001E485A" w:rsidRPr="00882976">
              <w:rPr>
                <w:rFonts w:cs="Arial"/>
              </w:rPr>
              <w:t>00</w:t>
            </w:r>
          </w:p>
        </w:tc>
        <w:tc>
          <w:tcPr>
            <w:tcW w:w="2246" w:type="dxa"/>
            <w:vAlign w:val="center"/>
          </w:tcPr>
          <w:p w14:paraId="1D6E5D15" w14:textId="499243B1" w:rsidR="009A4411" w:rsidRPr="00882976" w:rsidRDefault="009A4411" w:rsidP="00AC67F1">
            <w:pPr>
              <w:tabs>
                <w:tab w:val="left" w:pos="567"/>
                <w:tab w:val="left" w:pos="1134"/>
              </w:tabs>
              <w:spacing w:after="0"/>
              <w:jc w:val="center"/>
              <w:rPr>
                <w:rFonts w:cs="Arial"/>
              </w:rPr>
            </w:pPr>
            <w:r w:rsidRPr="00882976">
              <w:rPr>
                <w:rFonts w:cs="Arial"/>
              </w:rPr>
              <w:t>5.0</w:t>
            </w:r>
            <w:r w:rsidR="001E485A" w:rsidRPr="00882976">
              <w:rPr>
                <w:rFonts w:cs="Arial"/>
              </w:rPr>
              <w:t>00</w:t>
            </w:r>
          </w:p>
        </w:tc>
      </w:tr>
    </w:tbl>
    <w:p w14:paraId="436FB672" w14:textId="77777777" w:rsidR="009A4411" w:rsidRPr="00882976" w:rsidRDefault="009A4411" w:rsidP="009A4411">
      <w:pPr>
        <w:tabs>
          <w:tab w:val="left" w:pos="567"/>
          <w:tab w:val="left" w:pos="1134"/>
        </w:tabs>
        <w:spacing w:after="0"/>
        <w:rPr>
          <w:rFonts w:cs="Arial"/>
        </w:rPr>
      </w:pPr>
      <w:r w:rsidRPr="00882976">
        <w:rPr>
          <w:rFonts w:cs="Arial"/>
        </w:rPr>
        <w:t xml:space="preserve"> </w:t>
      </w:r>
    </w:p>
    <w:p w14:paraId="07FD3EB2" w14:textId="447FF984" w:rsidR="009A4411" w:rsidRPr="00882976" w:rsidRDefault="00E3540A" w:rsidP="009A4411">
      <w:pPr>
        <w:tabs>
          <w:tab w:val="left" w:pos="567"/>
          <w:tab w:val="left" w:pos="1134"/>
        </w:tabs>
        <w:spacing w:after="0"/>
        <w:rPr>
          <w:rFonts w:cs="Arial"/>
        </w:rPr>
      </w:pPr>
      <w:r w:rsidRPr="00882976">
        <w:rPr>
          <w:rFonts w:cs="Arial"/>
        </w:rPr>
        <w:t>An</w:t>
      </w:r>
      <w:r w:rsidR="009A4411" w:rsidRPr="00882976">
        <w:rPr>
          <w:rFonts w:cs="Arial"/>
        </w:rPr>
        <w:t xml:space="preserve"> estimated £22.5</w:t>
      </w:r>
      <w:r w:rsidR="001E485A" w:rsidRPr="00882976">
        <w:rPr>
          <w:rFonts w:cs="Arial"/>
        </w:rPr>
        <w:t>00</w:t>
      </w:r>
      <w:r w:rsidR="009A4411" w:rsidRPr="00882976">
        <w:rPr>
          <w:rFonts w:cs="Arial"/>
        </w:rPr>
        <w:t xml:space="preserve">m </w:t>
      </w:r>
      <w:r w:rsidRPr="00882976">
        <w:rPr>
          <w:rFonts w:cs="Arial"/>
        </w:rPr>
        <w:t xml:space="preserve">has previously been agreed to </w:t>
      </w:r>
      <w:r w:rsidR="009A4411" w:rsidRPr="00882976">
        <w:rPr>
          <w:rFonts w:cs="Arial"/>
        </w:rPr>
        <w:t>b</w:t>
      </w:r>
      <w:r w:rsidR="0001056B" w:rsidRPr="00882976">
        <w:rPr>
          <w:rFonts w:cs="Arial"/>
        </w:rPr>
        <w:t>e applied to the revenue budget.</w:t>
      </w:r>
      <w:r w:rsidR="001E485A" w:rsidRPr="00882976">
        <w:rPr>
          <w:rFonts w:cs="Arial"/>
        </w:rPr>
        <w:t xml:space="preserve"> </w:t>
      </w:r>
      <w:r w:rsidR="009A4411" w:rsidRPr="00882976">
        <w:rPr>
          <w:rFonts w:cs="Arial"/>
        </w:rPr>
        <w:t xml:space="preserve">It should be noted that the receipts are one-off resources and there is a possibility that the level of receipts to be generated from the sale of assets will not be maintained at these levels for a sustained period of time. The actual receipts received in any one year will fluctuate in line with local property markets and the type of asset available for sale. Therefore, there is a risk that in any given year the receipts actually </w:t>
      </w:r>
      <w:r w:rsidR="009A4411" w:rsidRPr="00882976">
        <w:rPr>
          <w:rFonts w:cs="Arial"/>
        </w:rPr>
        <w:lastRenderedPageBreak/>
        <w:t>received will be less than assumed and therefore the situation will be monitored closely.</w:t>
      </w:r>
      <w:r w:rsidR="00E007F5" w:rsidRPr="00882976">
        <w:rPr>
          <w:rFonts w:cs="Arial"/>
        </w:rPr>
        <w:t xml:space="preserve">  This report does not assume any variation from the existing assumptions.</w:t>
      </w:r>
      <w:r w:rsidR="0001399C">
        <w:rPr>
          <w:rFonts w:cs="Arial"/>
        </w:rPr>
        <w:t xml:space="preserve"> However, </w:t>
      </w:r>
      <w:r w:rsidR="00E62E4F">
        <w:rPr>
          <w:rFonts w:cs="Arial"/>
        </w:rPr>
        <w:t>receipts</w:t>
      </w:r>
      <w:r w:rsidR="0001399C">
        <w:rPr>
          <w:rFonts w:cs="Arial"/>
        </w:rPr>
        <w:t xml:space="preserve"> received in the year to date </w:t>
      </w:r>
      <w:r w:rsidR="00E62E4F">
        <w:rPr>
          <w:rFonts w:cs="Arial"/>
        </w:rPr>
        <w:t xml:space="preserve">total £7.269m with </w:t>
      </w:r>
      <w:r w:rsidR="0001399C">
        <w:rPr>
          <w:rFonts w:cs="Arial"/>
        </w:rPr>
        <w:t xml:space="preserve">capital </w:t>
      </w:r>
      <w:r w:rsidR="00E62E4F">
        <w:rPr>
          <w:rFonts w:cs="Arial"/>
        </w:rPr>
        <w:t xml:space="preserve">receipts </w:t>
      </w:r>
      <w:r w:rsidR="0001399C">
        <w:rPr>
          <w:rFonts w:cs="Arial"/>
        </w:rPr>
        <w:t>over £5.000m being able to be</w:t>
      </w:r>
      <w:r w:rsidR="004D228C">
        <w:rPr>
          <w:rFonts w:cs="Arial"/>
        </w:rPr>
        <w:t xml:space="preserve"> carried forward to support the </w:t>
      </w:r>
      <w:r w:rsidR="0001399C">
        <w:rPr>
          <w:rFonts w:cs="Arial"/>
        </w:rPr>
        <w:t>£</w:t>
      </w:r>
      <w:r w:rsidR="004D228C">
        <w:rPr>
          <w:rFonts w:cs="Arial"/>
        </w:rPr>
        <w:t>12.500m target in 2017/18</w:t>
      </w:r>
      <w:bookmarkStart w:id="0" w:name="_GoBack"/>
      <w:bookmarkEnd w:id="0"/>
      <w:r w:rsidR="004D228C">
        <w:rPr>
          <w:rFonts w:cs="Arial"/>
        </w:rPr>
        <w:t xml:space="preserve">. </w:t>
      </w:r>
    </w:p>
    <w:p w14:paraId="195AF341" w14:textId="77777777" w:rsidR="009A4411" w:rsidRPr="00882976" w:rsidRDefault="009A4411" w:rsidP="009A4411">
      <w:pPr>
        <w:tabs>
          <w:tab w:val="left" w:pos="567"/>
          <w:tab w:val="left" w:pos="1134"/>
        </w:tabs>
        <w:spacing w:after="0"/>
        <w:rPr>
          <w:rFonts w:cs="Arial"/>
        </w:rPr>
      </w:pPr>
    </w:p>
    <w:p w14:paraId="2E8DC0B8" w14:textId="7C3ECB57" w:rsidR="00E64FE0" w:rsidRPr="003B382E" w:rsidRDefault="009A4411" w:rsidP="008D5D96">
      <w:pPr>
        <w:tabs>
          <w:tab w:val="left" w:pos="567"/>
          <w:tab w:val="left" w:pos="1134"/>
        </w:tabs>
        <w:spacing w:after="0"/>
        <w:rPr>
          <w:rFonts w:cs="Arial"/>
        </w:rPr>
      </w:pPr>
      <w:r w:rsidRPr="00882976">
        <w:rPr>
          <w:rFonts w:cs="Arial"/>
        </w:rPr>
        <w:t>The funding gap shown in section 1.1 already assumes the use of these receipts</w:t>
      </w:r>
      <w:r w:rsidR="001422F8" w:rsidRPr="00882976">
        <w:rPr>
          <w:rFonts w:cs="Arial"/>
        </w:rPr>
        <w:t xml:space="preserve"> in supporting the revenue budget under the new flexibi</w:t>
      </w:r>
      <w:r w:rsidR="003B382E">
        <w:rPr>
          <w:rFonts w:cs="Arial"/>
        </w:rPr>
        <w:t>lities which Councils can apply</w:t>
      </w:r>
    </w:p>
    <w:p w14:paraId="2C4B328A" w14:textId="77777777" w:rsidR="00E64FE0" w:rsidRPr="00882976" w:rsidRDefault="00E64FE0" w:rsidP="008D5D96">
      <w:pPr>
        <w:tabs>
          <w:tab w:val="left" w:pos="567"/>
          <w:tab w:val="left" w:pos="1134"/>
        </w:tabs>
        <w:spacing w:after="0"/>
        <w:rPr>
          <w:rFonts w:cs="Arial"/>
          <w:b/>
          <w:highlight w:val="yellow"/>
        </w:rPr>
      </w:pPr>
    </w:p>
    <w:p w14:paraId="1EAA46F8" w14:textId="77777777" w:rsidR="00932C3B" w:rsidRPr="00882976" w:rsidRDefault="00B76843" w:rsidP="008D5D96">
      <w:pPr>
        <w:tabs>
          <w:tab w:val="left" w:pos="567"/>
          <w:tab w:val="left" w:pos="1134"/>
        </w:tabs>
        <w:spacing w:after="0"/>
        <w:rPr>
          <w:rFonts w:cs="Arial"/>
          <w:b/>
        </w:rPr>
      </w:pPr>
      <w:r w:rsidRPr="00882976">
        <w:rPr>
          <w:rFonts w:cs="Arial"/>
          <w:b/>
        </w:rPr>
        <w:t>3</w:t>
      </w:r>
      <w:r w:rsidR="00932C3B" w:rsidRPr="00882976">
        <w:rPr>
          <w:rFonts w:cs="Arial"/>
          <w:b/>
        </w:rPr>
        <w:t>.</w:t>
      </w:r>
      <w:r w:rsidRPr="00882976">
        <w:rPr>
          <w:rFonts w:cs="Arial"/>
          <w:b/>
        </w:rPr>
        <w:t xml:space="preserve"> Net </w:t>
      </w:r>
      <w:r w:rsidR="00932C3B" w:rsidRPr="00882976">
        <w:rPr>
          <w:rFonts w:cs="Arial"/>
          <w:b/>
        </w:rPr>
        <w:t>Spending Pressures</w:t>
      </w:r>
    </w:p>
    <w:p w14:paraId="05716486" w14:textId="77777777" w:rsidR="00D31557" w:rsidRPr="00882976" w:rsidRDefault="00D31557" w:rsidP="008D5D96">
      <w:pPr>
        <w:tabs>
          <w:tab w:val="left" w:pos="567"/>
          <w:tab w:val="left" w:pos="1134"/>
        </w:tabs>
        <w:spacing w:after="0"/>
        <w:rPr>
          <w:rFonts w:cs="Arial"/>
          <w:b/>
        </w:rPr>
      </w:pPr>
    </w:p>
    <w:p w14:paraId="6A2A26A5" w14:textId="77777777" w:rsidR="00932C3B" w:rsidRPr="00882976" w:rsidRDefault="00D31557" w:rsidP="008D5D96">
      <w:pPr>
        <w:tabs>
          <w:tab w:val="left" w:pos="567"/>
          <w:tab w:val="left" w:pos="1134"/>
        </w:tabs>
        <w:spacing w:after="0"/>
        <w:rPr>
          <w:rFonts w:cs="Arial"/>
          <w:b/>
        </w:rPr>
      </w:pPr>
      <w:r w:rsidRPr="00882976">
        <w:rPr>
          <w:rFonts w:cs="Arial"/>
        </w:rPr>
        <w:t>The MTFS covers spending pressures including pay increases, contractual inflation, increased demand for services and the impact of previously agreed savings measures that are either no longer achievable at all or not to the scale or in the timeframes originally planned</w:t>
      </w:r>
      <w:r w:rsidRPr="00882976">
        <w:rPr>
          <w:rFonts w:cs="Arial"/>
          <w:b/>
        </w:rPr>
        <w:t>.</w:t>
      </w:r>
    </w:p>
    <w:p w14:paraId="4679609D" w14:textId="77777777" w:rsidR="00C37DF8" w:rsidRPr="00882976" w:rsidRDefault="00C37DF8" w:rsidP="008D5D96">
      <w:pPr>
        <w:spacing w:after="0"/>
        <w:rPr>
          <w:rFonts w:cs="Arial"/>
          <w:highlight w:val="yellow"/>
        </w:rPr>
      </w:pPr>
    </w:p>
    <w:p w14:paraId="600818F9" w14:textId="77777777" w:rsidR="0013756B" w:rsidRPr="00882976" w:rsidRDefault="00DC1BB5" w:rsidP="008D5D96">
      <w:pPr>
        <w:spacing w:after="0"/>
        <w:rPr>
          <w:rFonts w:cs="Arial"/>
          <w:b/>
        </w:rPr>
      </w:pPr>
      <w:r w:rsidRPr="00882976">
        <w:rPr>
          <w:rFonts w:cs="Arial"/>
          <w:b/>
        </w:rPr>
        <w:t>3</w:t>
      </w:r>
      <w:r w:rsidR="00145395" w:rsidRPr="00882976">
        <w:rPr>
          <w:rFonts w:cs="Arial"/>
          <w:b/>
        </w:rPr>
        <w:t>.</w:t>
      </w:r>
      <w:r w:rsidRPr="00882976">
        <w:rPr>
          <w:rFonts w:cs="Arial"/>
          <w:b/>
        </w:rPr>
        <w:t>1</w:t>
      </w:r>
      <w:r w:rsidR="00E57F56" w:rsidRPr="00882976">
        <w:rPr>
          <w:rFonts w:cs="Arial"/>
          <w:b/>
        </w:rPr>
        <w:t xml:space="preserve"> </w:t>
      </w:r>
      <w:r w:rsidR="00D31557" w:rsidRPr="00882976">
        <w:rPr>
          <w:rFonts w:cs="Arial"/>
          <w:b/>
        </w:rPr>
        <w:t>Pay</w:t>
      </w:r>
    </w:p>
    <w:p w14:paraId="31B2E4D8" w14:textId="77777777" w:rsidR="00D31557" w:rsidRPr="00882976" w:rsidRDefault="00D31557" w:rsidP="008D5D96">
      <w:pPr>
        <w:spacing w:after="0"/>
        <w:rPr>
          <w:rFonts w:cs="Arial"/>
          <w:b/>
        </w:rPr>
      </w:pPr>
    </w:p>
    <w:p w14:paraId="03F04065" w14:textId="15AC5F86" w:rsidR="006A0088" w:rsidRPr="00882976" w:rsidRDefault="00D31557" w:rsidP="00D31557">
      <w:pPr>
        <w:spacing w:after="0"/>
        <w:rPr>
          <w:rFonts w:cs="Arial"/>
        </w:rPr>
      </w:pPr>
      <w:r w:rsidRPr="00882976">
        <w:rPr>
          <w:rFonts w:cs="Arial"/>
        </w:rPr>
        <w:t xml:space="preserve">In the July </w:t>
      </w:r>
      <w:r w:rsidR="006A0088" w:rsidRPr="00882976">
        <w:rPr>
          <w:rFonts w:cs="Arial"/>
        </w:rPr>
        <w:t xml:space="preserve">2015 </w:t>
      </w:r>
      <w:r w:rsidRPr="00882976">
        <w:rPr>
          <w:rFonts w:cs="Arial"/>
        </w:rPr>
        <w:t>Budget the Chancellor announced a 4 year restriction on public sector pay increases at 1% per year. This assumpt</w:t>
      </w:r>
      <w:r w:rsidR="006A0088" w:rsidRPr="00882976">
        <w:rPr>
          <w:rFonts w:cs="Arial"/>
        </w:rPr>
        <w:t>ion</w:t>
      </w:r>
      <w:r w:rsidR="00E6630C" w:rsidRPr="00882976">
        <w:rPr>
          <w:rFonts w:cs="Arial"/>
        </w:rPr>
        <w:t xml:space="preserve"> was built into the current MTFS and remains</w:t>
      </w:r>
      <w:r w:rsidR="006A0088" w:rsidRPr="00882976">
        <w:rPr>
          <w:rFonts w:cs="Arial"/>
        </w:rPr>
        <w:t xml:space="preserve"> unchanged</w:t>
      </w:r>
      <w:r w:rsidR="00E6630C" w:rsidRPr="00882976">
        <w:rPr>
          <w:rFonts w:cs="Arial"/>
        </w:rPr>
        <w:t xml:space="preserve">, </w:t>
      </w:r>
      <w:r w:rsidR="006A0088" w:rsidRPr="00882976">
        <w:rPr>
          <w:rFonts w:cs="Arial"/>
        </w:rPr>
        <w:t>however a full review of the current staffing cohort and fut</w:t>
      </w:r>
      <w:r w:rsidR="00270A7A" w:rsidRPr="00882976">
        <w:rPr>
          <w:rFonts w:cs="Arial"/>
        </w:rPr>
        <w:t xml:space="preserve">ure savings that may impact on </w:t>
      </w:r>
      <w:r w:rsidR="006A0088" w:rsidRPr="00882976">
        <w:rPr>
          <w:rFonts w:cs="Arial"/>
        </w:rPr>
        <w:t>s</w:t>
      </w:r>
      <w:r w:rsidR="00270A7A" w:rsidRPr="00882976">
        <w:rPr>
          <w:rFonts w:cs="Arial"/>
        </w:rPr>
        <w:t>taffing</w:t>
      </w:r>
      <w:r w:rsidR="006A0088" w:rsidRPr="00882976">
        <w:rPr>
          <w:rFonts w:cs="Arial"/>
        </w:rPr>
        <w:t xml:space="preserve"> has been included. This also incorporates a separate calculation for the National Living Wage which the County Council is committed to paying its employees as an accredited member of the Living Wage Foundation. </w:t>
      </w:r>
      <w:r w:rsidR="009E3967" w:rsidRPr="00882976">
        <w:rPr>
          <w:rFonts w:cs="Arial"/>
        </w:rPr>
        <w:t xml:space="preserve">The pay requirement also includes a provisional amount for additional holiday pay to staff. </w:t>
      </w:r>
    </w:p>
    <w:p w14:paraId="4B07761D" w14:textId="77777777" w:rsidR="006A0088" w:rsidRPr="00882976" w:rsidRDefault="006A0088" w:rsidP="00D31557">
      <w:pPr>
        <w:spacing w:after="0"/>
        <w:rPr>
          <w:rFonts w:cs="Arial"/>
        </w:rPr>
      </w:pPr>
    </w:p>
    <w:p w14:paraId="7764282E" w14:textId="4EF105B6" w:rsidR="000A747F" w:rsidRPr="00882976" w:rsidRDefault="006A0088" w:rsidP="00D31557">
      <w:pPr>
        <w:spacing w:after="0"/>
        <w:rPr>
          <w:rFonts w:cs="Arial"/>
        </w:rPr>
      </w:pPr>
      <w:r w:rsidRPr="00882976">
        <w:rPr>
          <w:rFonts w:cs="Arial"/>
        </w:rPr>
        <w:t xml:space="preserve">As part of the review of the MTFS a resource requirement has been built in to fund the cost of increments that will be paid to staff as they progress up their respective grades. The staffing budgets have undergone a full realignment in 2016/17 with budgets being allocated on specific grade points at the start of 2016/17, </w:t>
      </w:r>
      <w:r w:rsidR="00727C82" w:rsidRPr="00882976">
        <w:rPr>
          <w:rFonts w:cs="Arial"/>
        </w:rPr>
        <w:t xml:space="preserve">with the staffing data being regularly reviewed as changes occur, particularly in relation to service restructures. </w:t>
      </w:r>
    </w:p>
    <w:p w14:paraId="79E6007D" w14:textId="77777777" w:rsidR="00060C9A" w:rsidRPr="00882976" w:rsidRDefault="00060C9A" w:rsidP="00D31557">
      <w:pPr>
        <w:spacing w:after="0"/>
        <w:rPr>
          <w:rFonts w:cs="Arial"/>
        </w:rPr>
      </w:pPr>
    </w:p>
    <w:p w14:paraId="07ADA836" w14:textId="6AF1A442" w:rsidR="00060C9A" w:rsidRPr="00882976" w:rsidRDefault="00060C9A" w:rsidP="00D31557">
      <w:pPr>
        <w:spacing w:after="0"/>
        <w:rPr>
          <w:rFonts w:cs="Arial"/>
        </w:rPr>
      </w:pPr>
      <w:r w:rsidRPr="00882976">
        <w:rPr>
          <w:rFonts w:cs="Arial"/>
        </w:rPr>
        <w:t xml:space="preserve">The pension's element of the pay budget </w:t>
      </w:r>
      <w:r w:rsidR="00527E35">
        <w:rPr>
          <w:rFonts w:cs="Arial"/>
        </w:rPr>
        <w:t xml:space="preserve">is also included in the MTFS based on the latest information </w:t>
      </w:r>
      <w:r w:rsidR="00C37DF8" w:rsidRPr="00882976">
        <w:rPr>
          <w:rFonts w:cs="Arial"/>
        </w:rPr>
        <w:t xml:space="preserve">in relation to the </w:t>
      </w:r>
      <w:r w:rsidRPr="00882976">
        <w:rPr>
          <w:rFonts w:cs="Arial"/>
        </w:rPr>
        <w:t xml:space="preserve">County Council's estimated contribution </w:t>
      </w:r>
      <w:r w:rsidR="00C37DF8" w:rsidRPr="00882976">
        <w:rPr>
          <w:rFonts w:cs="Arial"/>
        </w:rPr>
        <w:t>rate and deficit contributions</w:t>
      </w:r>
      <w:r w:rsidR="00527E35">
        <w:rPr>
          <w:rFonts w:cs="Arial"/>
        </w:rPr>
        <w:t>.</w:t>
      </w:r>
      <w:r w:rsidR="005F3006" w:rsidRPr="00882976">
        <w:rPr>
          <w:rFonts w:cs="Arial"/>
        </w:rPr>
        <w:t xml:space="preserve"> </w:t>
      </w:r>
    </w:p>
    <w:p w14:paraId="694E39A7" w14:textId="77777777" w:rsidR="005F3006" w:rsidRPr="00882976" w:rsidRDefault="005F3006" w:rsidP="00D31557">
      <w:pPr>
        <w:spacing w:after="0"/>
        <w:rPr>
          <w:rFonts w:cs="Arial"/>
        </w:rPr>
      </w:pPr>
    </w:p>
    <w:p w14:paraId="03C2F56E" w14:textId="3222F79C" w:rsidR="005F3006" w:rsidRPr="00882976" w:rsidRDefault="005F3006" w:rsidP="00D31557">
      <w:pPr>
        <w:spacing w:after="0"/>
        <w:rPr>
          <w:rFonts w:cs="Arial"/>
        </w:rPr>
      </w:pPr>
      <w:r w:rsidRPr="00882976">
        <w:rPr>
          <w:rFonts w:cs="Arial"/>
        </w:rPr>
        <w:t>The Chancellor has previously announced that an apprenticeship levy would be introduced to help fund employer apprenticeship schemes and "invest in Britain's future." The levy will be introduced in April 2017 at a rate of 0.5% of an employer’s pay bill, therefore an estimate of £</w:t>
      </w:r>
      <w:r w:rsidR="009C3A54">
        <w:rPr>
          <w:rFonts w:cs="Arial"/>
        </w:rPr>
        <w:t>1.500m has been included in the</w:t>
      </w:r>
      <w:r w:rsidRPr="00882976">
        <w:rPr>
          <w:rFonts w:cs="Arial"/>
        </w:rPr>
        <w:t xml:space="preserve"> MTFS. </w:t>
      </w:r>
    </w:p>
    <w:p w14:paraId="4586307E" w14:textId="77777777" w:rsidR="00145DBC" w:rsidRPr="00882976" w:rsidRDefault="00145DBC" w:rsidP="00D31557">
      <w:pPr>
        <w:spacing w:after="0"/>
        <w:rPr>
          <w:rFonts w:cs="Arial"/>
        </w:rPr>
      </w:pPr>
    </w:p>
    <w:p w14:paraId="0BDA4BCD" w14:textId="2BF9C5DD" w:rsidR="00C37DF8" w:rsidRDefault="00527E35" w:rsidP="00D31557">
      <w:pPr>
        <w:spacing w:after="0"/>
        <w:rPr>
          <w:rFonts w:cs="Arial"/>
        </w:rPr>
      </w:pPr>
      <w:r>
        <w:rPr>
          <w:rFonts w:cs="Arial"/>
        </w:rPr>
        <w:t>The pay estimates in this MTFS have not changed since those reported to December Cabinet as there is no new information available.</w:t>
      </w:r>
    </w:p>
    <w:p w14:paraId="65D15D6B" w14:textId="77777777" w:rsidR="00527E35" w:rsidRDefault="00527E35" w:rsidP="00D31557">
      <w:pPr>
        <w:spacing w:after="0"/>
        <w:rPr>
          <w:rFonts w:cs="Arial"/>
        </w:rPr>
      </w:pPr>
    </w:p>
    <w:p w14:paraId="1A363BC3" w14:textId="77777777" w:rsidR="001A059C" w:rsidRDefault="001A059C" w:rsidP="00D31557">
      <w:pPr>
        <w:spacing w:after="0"/>
        <w:rPr>
          <w:rFonts w:cs="Arial"/>
        </w:rPr>
      </w:pPr>
    </w:p>
    <w:p w14:paraId="2D9F5792" w14:textId="77777777" w:rsidR="001A059C" w:rsidRDefault="001A059C" w:rsidP="00D31557">
      <w:pPr>
        <w:spacing w:after="0"/>
        <w:rPr>
          <w:rFonts w:cs="Arial"/>
        </w:rPr>
      </w:pPr>
    </w:p>
    <w:p w14:paraId="54EF4A90" w14:textId="77777777" w:rsidR="001A059C" w:rsidRDefault="001A059C" w:rsidP="00D31557">
      <w:pPr>
        <w:spacing w:after="0"/>
        <w:rPr>
          <w:rFonts w:cs="Arial"/>
        </w:rPr>
      </w:pPr>
    </w:p>
    <w:p w14:paraId="7B0C5DEF" w14:textId="77777777" w:rsidR="001A059C" w:rsidRDefault="001A059C" w:rsidP="00D31557">
      <w:pPr>
        <w:spacing w:after="0"/>
        <w:rPr>
          <w:rFonts w:cs="Arial"/>
        </w:rPr>
      </w:pPr>
    </w:p>
    <w:p w14:paraId="247CA20C" w14:textId="77777777" w:rsidR="001A059C" w:rsidRDefault="001A059C" w:rsidP="00D31557">
      <w:pPr>
        <w:spacing w:after="0"/>
        <w:rPr>
          <w:rFonts w:cs="Arial"/>
        </w:rPr>
      </w:pPr>
    </w:p>
    <w:p w14:paraId="5C616286" w14:textId="77777777" w:rsidR="001A059C" w:rsidRDefault="001A059C" w:rsidP="00D31557">
      <w:pPr>
        <w:spacing w:after="0"/>
        <w:rPr>
          <w:rFonts w:cs="Arial"/>
        </w:rPr>
      </w:pPr>
    </w:p>
    <w:p w14:paraId="1F0DA96A" w14:textId="77777777" w:rsidR="001A059C" w:rsidRDefault="001A059C" w:rsidP="00D31557">
      <w:pPr>
        <w:spacing w:after="0"/>
        <w:rPr>
          <w:rFonts w:cs="Arial"/>
        </w:rPr>
      </w:pPr>
    </w:p>
    <w:p w14:paraId="6A290F36" w14:textId="77777777" w:rsidR="001A059C" w:rsidRPr="00882976" w:rsidRDefault="001A059C" w:rsidP="00D31557">
      <w:pPr>
        <w:spacing w:after="0"/>
        <w:rPr>
          <w:rFonts w:cs="Arial"/>
        </w:rPr>
      </w:pPr>
    </w:p>
    <w:p w14:paraId="63B25AD6" w14:textId="0AE71347" w:rsidR="006A0088" w:rsidRPr="00882976" w:rsidRDefault="006A0088" w:rsidP="00D31557">
      <w:pPr>
        <w:spacing w:after="0"/>
        <w:rPr>
          <w:rFonts w:cs="Arial"/>
        </w:rPr>
      </w:pPr>
      <w:r w:rsidRPr="00882976">
        <w:rPr>
          <w:rFonts w:cs="Arial"/>
        </w:rPr>
        <w:t>The table be</w:t>
      </w:r>
      <w:r w:rsidR="00527E35">
        <w:rPr>
          <w:rFonts w:cs="Arial"/>
        </w:rPr>
        <w:t>low presents the amounts built into the MTFS for pay</w:t>
      </w:r>
      <w:r w:rsidRPr="00882976">
        <w:rPr>
          <w:rFonts w:cs="Arial"/>
        </w:rPr>
        <w:t>:</w:t>
      </w:r>
    </w:p>
    <w:p w14:paraId="6B872919" w14:textId="77777777" w:rsidR="00D31557" w:rsidRPr="00882976" w:rsidRDefault="00D31557" w:rsidP="00D31557">
      <w:pPr>
        <w:spacing w:after="0"/>
        <w:rPr>
          <w:rFonts w:cs="Arial"/>
        </w:rPr>
      </w:pPr>
    </w:p>
    <w:tbl>
      <w:tblPr>
        <w:tblStyle w:val="TableGrid8"/>
        <w:tblW w:w="8227" w:type="dxa"/>
        <w:jc w:val="center"/>
        <w:tblLook w:val="04A0" w:firstRow="1" w:lastRow="0" w:firstColumn="1" w:lastColumn="0" w:noHBand="0" w:noVBand="1"/>
      </w:tblPr>
      <w:tblGrid>
        <w:gridCol w:w="2796"/>
        <w:gridCol w:w="1084"/>
        <w:gridCol w:w="1084"/>
        <w:gridCol w:w="1084"/>
        <w:gridCol w:w="1084"/>
        <w:gridCol w:w="1095"/>
      </w:tblGrid>
      <w:tr w:rsidR="006A0088" w:rsidRPr="00882976" w14:paraId="2E8C329C" w14:textId="77777777" w:rsidTr="005C03EB">
        <w:trPr>
          <w:trHeight w:val="724"/>
          <w:jc w:val="center"/>
        </w:trPr>
        <w:tc>
          <w:tcPr>
            <w:tcW w:w="2796" w:type="dxa"/>
            <w:shd w:val="clear" w:color="auto" w:fill="BFBFBF" w:themeFill="background1" w:themeFillShade="BF"/>
          </w:tcPr>
          <w:p w14:paraId="3B409B38" w14:textId="77777777" w:rsidR="006A0088" w:rsidRPr="00882976" w:rsidRDefault="006A0088" w:rsidP="005B6A8A">
            <w:pPr>
              <w:tabs>
                <w:tab w:val="left" w:pos="567"/>
                <w:tab w:val="left" w:pos="1134"/>
              </w:tabs>
              <w:spacing w:after="0"/>
              <w:rPr>
                <w:rFonts w:cs="Arial"/>
              </w:rPr>
            </w:pPr>
          </w:p>
        </w:tc>
        <w:tc>
          <w:tcPr>
            <w:tcW w:w="0" w:type="auto"/>
            <w:shd w:val="clear" w:color="auto" w:fill="BFBFBF" w:themeFill="background1" w:themeFillShade="BF"/>
            <w:vAlign w:val="center"/>
          </w:tcPr>
          <w:p w14:paraId="206F6446" w14:textId="77777777" w:rsidR="006A0088" w:rsidRPr="00882976" w:rsidRDefault="006A0088" w:rsidP="005B6A8A">
            <w:pPr>
              <w:tabs>
                <w:tab w:val="left" w:pos="567"/>
                <w:tab w:val="left" w:pos="1134"/>
              </w:tabs>
              <w:spacing w:after="0"/>
              <w:jc w:val="center"/>
              <w:rPr>
                <w:rFonts w:cs="Arial"/>
                <w:b/>
              </w:rPr>
            </w:pPr>
            <w:r w:rsidRPr="00882976">
              <w:rPr>
                <w:rFonts w:cs="Arial"/>
                <w:b/>
              </w:rPr>
              <w:t>2017/18</w:t>
            </w:r>
          </w:p>
          <w:p w14:paraId="6C66A220"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38669784" w14:textId="77777777" w:rsidR="006A0088" w:rsidRPr="00882976" w:rsidRDefault="006A0088" w:rsidP="005B6A8A">
            <w:pPr>
              <w:tabs>
                <w:tab w:val="left" w:pos="567"/>
                <w:tab w:val="left" w:pos="1134"/>
              </w:tabs>
              <w:spacing w:after="0"/>
              <w:jc w:val="center"/>
              <w:rPr>
                <w:rFonts w:cs="Arial"/>
                <w:b/>
              </w:rPr>
            </w:pPr>
            <w:r w:rsidRPr="00882976">
              <w:rPr>
                <w:rFonts w:cs="Arial"/>
                <w:b/>
              </w:rPr>
              <w:t>2018/19</w:t>
            </w:r>
          </w:p>
          <w:p w14:paraId="52CF8063"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D7D4335" w14:textId="77777777" w:rsidR="006A0088" w:rsidRPr="00882976" w:rsidRDefault="006A0088" w:rsidP="005B6A8A">
            <w:pPr>
              <w:tabs>
                <w:tab w:val="left" w:pos="567"/>
                <w:tab w:val="left" w:pos="1134"/>
              </w:tabs>
              <w:spacing w:after="0"/>
              <w:jc w:val="center"/>
              <w:rPr>
                <w:rFonts w:cs="Arial"/>
                <w:b/>
              </w:rPr>
            </w:pPr>
            <w:r w:rsidRPr="00882976">
              <w:rPr>
                <w:rFonts w:cs="Arial"/>
                <w:b/>
              </w:rPr>
              <w:t>2019/20</w:t>
            </w:r>
          </w:p>
          <w:p w14:paraId="49884203"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0B594D60" w14:textId="77777777" w:rsidR="006A0088" w:rsidRPr="00882976" w:rsidRDefault="006A0088" w:rsidP="005B6A8A">
            <w:pPr>
              <w:tabs>
                <w:tab w:val="left" w:pos="567"/>
                <w:tab w:val="left" w:pos="1134"/>
              </w:tabs>
              <w:spacing w:after="0"/>
              <w:jc w:val="center"/>
              <w:rPr>
                <w:rFonts w:cs="Arial"/>
                <w:b/>
              </w:rPr>
            </w:pPr>
            <w:r w:rsidRPr="00882976">
              <w:rPr>
                <w:rFonts w:cs="Arial"/>
                <w:b/>
              </w:rPr>
              <w:t>2020/21</w:t>
            </w:r>
          </w:p>
          <w:p w14:paraId="7BFA1F02"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1095" w:type="dxa"/>
            <w:shd w:val="clear" w:color="auto" w:fill="BFBFBF" w:themeFill="background1" w:themeFillShade="BF"/>
            <w:vAlign w:val="center"/>
          </w:tcPr>
          <w:p w14:paraId="45848657" w14:textId="77777777" w:rsidR="006A0088" w:rsidRPr="00882976" w:rsidRDefault="006A0088" w:rsidP="005B6A8A">
            <w:pPr>
              <w:tabs>
                <w:tab w:val="left" w:pos="567"/>
                <w:tab w:val="left" w:pos="1134"/>
              </w:tabs>
              <w:spacing w:after="0"/>
              <w:jc w:val="center"/>
              <w:rPr>
                <w:rFonts w:cs="Arial"/>
                <w:b/>
              </w:rPr>
            </w:pPr>
            <w:r w:rsidRPr="00882976">
              <w:rPr>
                <w:rFonts w:cs="Arial"/>
                <w:b/>
              </w:rPr>
              <w:t>Total</w:t>
            </w:r>
          </w:p>
          <w:p w14:paraId="08227FC4"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r>
      <w:tr w:rsidR="00001DA0" w:rsidRPr="00882976" w14:paraId="1E1ADE3E" w14:textId="77777777" w:rsidTr="005C03EB">
        <w:trPr>
          <w:trHeight w:val="593"/>
          <w:jc w:val="center"/>
        </w:trPr>
        <w:tc>
          <w:tcPr>
            <w:tcW w:w="2796" w:type="dxa"/>
            <w:vAlign w:val="center"/>
          </w:tcPr>
          <w:p w14:paraId="16CDEF51" w14:textId="07CCA893" w:rsidR="00001DA0" w:rsidRPr="00882976" w:rsidRDefault="00001DA0" w:rsidP="005B6A8A">
            <w:pPr>
              <w:tabs>
                <w:tab w:val="left" w:pos="567"/>
                <w:tab w:val="left" w:pos="1134"/>
              </w:tabs>
              <w:spacing w:after="0"/>
              <w:jc w:val="left"/>
              <w:rPr>
                <w:rFonts w:cs="Arial"/>
                <w:b/>
              </w:rPr>
            </w:pPr>
            <w:r w:rsidRPr="00882976">
              <w:rPr>
                <w:rFonts w:cs="Arial"/>
                <w:b/>
              </w:rPr>
              <w:t>Revised Pay Budget Requirement</w:t>
            </w:r>
          </w:p>
        </w:tc>
        <w:tc>
          <w:tcPr>
            <w:tcW w:w="0" w:type="auto"/>
            <w:vAlign w:val="center"/>
          </w:tcPr>
          <w:p w14:paraId="7562A674" w14:textId="63BD4857" w:rsidR="00001DA0" w:rsidRPr="00882976" w:rsidRDefault="009E3967" w:rsidP="005B6A8A">
            <w:pPr>
              <w:tabs>
                <w:tab w:val="left" w:pos="567"/>
                <w:tab w:val="left" w:pos="1134"/>
              </w:tabs>
              <w:spacing w:after="0"/>
              <w:jc w:val="center"/>
              <w:rPr>
                <w:rFonts w:cs="Arial"/>
                <w:b/>
              </w:rPr>
            </w:pPr>
            <w:r w:rsidRPr="00882976">
              <w:rPr>
                <w:rFonts w:cs="Arial"/>
                <w:b/>
              </w:rPr>
              <w:t>9.837</w:t>
            </w:r>
          </w:p>
        </w:tc>
        <w:tc>
          <w:tcPr>
            <w:tcW w:w="0" w:type="auto"/>
            <w:vAlign w:val="center"/>
          </w:tcPr>
          <w:p w14:paraId="64989A89" w14:textId="13EB2456" w:rsidR="00001DA0" w:rsidRPr="00882976" w:rsidRDefault="009E3967" w:rsidP="005B6A8A">
            <w:pPr>
              <w:tabs>
                <w:tab w:val="left" w:pos="567"/>
                <w:tab w:val="left" w:pos="1134"/>
              </w:tabs>
              <w:spacing w:after="0"/>
              <w:jc w:val="center"/>
              <w:rPr>
                <w:rFonts w:cs="Arial"/>
                <w:b/>
              </w:rPr>
            </w:pPr>
            <w:r w:rsidRPr="00882976">
              <w:rPr>
                <w:rFonts w:cs="Arial"/>
                <w:b/>
              </w:rPr>
              <w:t>5.851</w:t>
            </w:r>
          </w:p>
        </w:tc>
        <w:tc>
          <w:tcPr>
            <w:tcW w:w="0" w:type="auto"/>
            <w:vAlign w:val="center"/>
          </w:tcPr>
          <w:p w14:paraId="4D6D7746" w14:textId="4535184E" w:rsidR="00001DA0" w:rsidRPr="00882976" w:rsidRDefault="008E6C28" w:rsidP="005B6A8A">
            <w:pPr>
              <w:tabs>
                <w:tab w:val="left" w:pos="567"/>
                <w:tab w:val="left" w:pos="1134"/>
              </w:tabs>
              <w:spacing w:after="0"/>
              <w:jc w:val="center"/>
              <w:rPr>
                <w:rFonts w:cs="Arial"/>
                <w:b/>
              </w:rPr>
            </w:pPr>
            <w:r w:rsidRPr="00882976">
              <w:rPr>
                <w:rFonts w:cs="Arial"/>
                <w:b/>
              </w:rPr>
              <w:t>6.018</w:t>
            </w:r>
          </w:p>
        </w:tc>
        <w:tc>
          <w:tcPr>
            <w:tcW w:w="0" w:type="auto"/>
            <w:vAlign w:val="center"/>
          </w:tcPr>
          <w:p w14:paraId="7B859BC8" w14:textId="58A6299E" w:rsidR="00001DA0" w:rsidRPr="00882976" w:rsidRDefault="009E3967" w:rsidP="00001DA0">
            <w:pPr>
              <w:tabs>
                <w:tab w:val="left" w:pos="567"/>
                <w:tab w:val="left" w:pos="1134"/>
              </w:tabs>
              <w:spacing w:after="0"/>
              <w:jc w:val="center"/>
              <w:rPr>
                <w:rFonts w:cs="Arial"/>
                <w:b/>
              </w:rPr>
            </w:pPr>
            <w:r w:rsidRPr="00882976">
              <w:rPr>
                <w:rFonts w:cs="Arial"/>
                <w:b/>
              </w:rPr>
              <w:t>5.672</w:t>
            </w:r>
          </w:p>
        </w:tc>
        <w:tc>
          <w:tcPr>
            <w:tcW w:w="1095" w:type="dxa"/>
            <w:vAlign w:val="center"/>
          </w:tcPr>
          <w:p w14:paraId="4FB64250" w14:textId="4461CC54" w:rsidR="00001DA0" w:rsidRPr="00882976" w:rsidRDefault="009E3967" w:rsidP="00F4523A">
            <w:pPr>
              <w:tabs>
                <w:tab w:val="left" w:pos="567"/>
                <w:tab w:val="left" w:pos="1134"/>
              </w:tabs>
              <w:spacing w:after="0"/>
              <w:jc w:val="center"/>
              <w:rPr>
                <w:rFonts w:cs="Arial"/>
                <w:b/>
              </w:rPr>
            </w:pPr>
            <w:r w:rsidRPr="00882976">
              <w:rPr>
                <w:rFonts w:cs="Arial"/>
                <w:b/>
              </w:rPr>
              <w:t>27.378</w:t>
            </w:r>
          </w:p>
        </w:tc>
      </w:tr>
    </w:tbl>
    <w:p w14:paraId="54533420" w14:textId="77777777" w:rsidR="00B67E26" w:rsidRPr="00882976" w:rsidRDefault="00B67E26" w:rsidP="008D5D96">
      <w:pPr>
        <w:spacing w:after="0"/>
        <w:rPr>
          <w:rFonts w:cs="Arial"/>
          <w:b/>
        </w:rPr>
      </w:pPr>
    </w:p>
    <w:p w14:paraId="6EB9DEF5" w14:textId="27B52044" w:rsidR="002A09EE" w:rsidRPr="00882976" w:rsidRDefault="002A09EE" w:rsidP="008D5D96">
      <w:pPr>
        <w:spacing w:after="0"/>
        <w:rPr>
          <w:rFonts w:cs="Arial"/>
          <w:b/>
        </w:rPr>
      </w:pPr>
      <w:r w:rsidRPr="00882976">
        <w:rPr>
          <w:rFonts w:cs="Arial"/>
          <w:b/>
        </w:rPr>
        <w:t>3.2 Price Inflation</w:t>
      </w:r>
      <w:r w:rsidR="00F10592" w:rsidRPr="00882976">
        <w:rPr>
          <w:rFonts w:cs="Arial"/>
          <w:b/>
        </w:rPr>
        <w:t xml:space="preserve"> and Cost Changes</w:t>
      </w:r>
    </w:p>
    <w:p w14:paraId="6BAB5D94" w14:textId="77777777" w:rsidR="002A09EE" w:rsidRPr="00882976" w:rsidRDefault="002A09EE" w:rsidP="008D5D96">
      <w:pPr>
        <w:spacing w:after="0"/>
        <w:rPr>
          <w:rFonts w:cs="Arial"/>
          <w:b/>
        </w:rPr>
      </w:pPr>
    </w:p>
    <w:p w14:paraId="01DBCA91" w14:textId="5CFF9710" w:rsidR="000A747F" w:rsidRPr="00B67E26" w:rsidRDefault="004866FB" w:rsidP="002A09EE">
      <w:pPr>
        <w:spacing w:after="0"/>
        <w:rPr>
          <w:rFonts w:cs="Arial"/>
        </w:rPr>
      </w:pPr>
      <w:r w:rsidRPr="00882976">
        <w:rPr>
          <w:rFonts w:cs="Arial"/>
        </w:rPr>
        <w:t>C</w:t>
      </w:r>
      <w:r w:rsidR="002A09EE" w:rsidRPr="00882976">
        <w:rPr>
          <w:rFonts w:cs="Arial"/>
        </w:rPr>
        <w:t>ontractual price increases represent a significant cost pressure</w:t>
      </w:r>
      <w:r w:rsidR="00E27D2F" w:rsidRPr="00882976">
        <w:rPr>
          <w:rFonts w:cs="Arial"/>
        </w:rPr>
        <w:t xml:space="preserve"> to the County Council. </w:t>
      </w:r>
      <w:r w:rsidRPr="00882976">
        <w:rPr>
          <w:rFonts w:cs="Arial"/>
        </w:rPr>
        <w:t>T</w:t>
      </w:r>
      <w:r w:rsidR="002A09EE" w:rsidRPr="00882976">
        <w:rPr>
          <w:rFonts w:cs="Arial"/>
        </w:rPr>
        <w:t xml:space="preserve">he assumptions have been </w:t>
      </w:r>
      <w:r w:rsidRPr="00882976">
        <w:rPr>
          <w:rFonts w:cs="Arial"/>
        </w:rPr>
        <w:t xml:space="preserve">subject to regular review </w:t>
      </w:r>
      <w:r w:rsidR="002A09EE" w:rsidRPr="00882976">
        <w:rPr>
          <w:rFonts w:cs="Arial"/>
        </w:rPr>
        <w:t xml:space="preserve">by services </w:t>
      </w:r>
      <w:r w:rsidR="00145DBC" w:rsidRPr="00882976">
        <w:rPr>
          <w:rFonts w:cs="Arial"/>
        </w:rPr>
        <w:t>with an increase of £</w:t>
      </w:r>
      <w:r w:rsidR="00BB5620" w:rsidRPr="00882976">
        <w:rPr>
          <w:rFonts w:cs="Arial"/>
        </w:rPr>
        <w:t>5.212</w:t>
      </w:r>
      <w:r w:rsidR="002A09EE" w:rsidRPr="00882976">
        <w:rPr>
          <w:rFonts w:cs="Arial"/>
        </w:rPr>
        <w:t>m</w:t>
      </w:r>
      <w:r w:rsidRPr="00882976">
        <w:rPr>
          <w:rFonts w:cs="Arial"/>
        </w:rPr>
        <w:t xml:space="preserve"> </w:t>
      </w:r>
      <w:r w:rsidR="00E27D2F" w:rsidRPr="00882976">
        <w:rPr>
          <w:rFonts w:cs="Arial"/>
        </w:rPr>
        <w:t>identified over the 4 year period</w:t>
      </w:r>
      <w:r w:rsidRPr="00882976">
        <w:rPr>
          <w:rFonts w:cs="Arial"/>
        </w:rPr>
        <w:t xml:space="preserve">. </w:t>
      </w:r>
      <w:r w:rsidR="00935FA0" w:rsidRPr="00882976">
        <w:rPr>
          <w:rFonts w:cs="Arial"/>
        </w:rPr>
        <w:t xml:space="preserve"> </w:t>
      </w:r>
    </w:p>
    <w:p w14:paraId="67F6D146" w14:textId="77777777" w:rsidR="002A09EE" w:rsidRPr="00882976" w:rsidRDefault="002A09EE" w:rsidP="002A09EE">
      <w:pPr>
        <w:tabs>
          <w:tab w:val="left" w:pos="567"/>
          <w:tab w:val="left" w:pos="1134"/>
        </w:tabs>
        <w:spacing w:after="0"/>
        <w:rPr>
          <w:rFonts w:cs="Arial"/>
          <w:highlight w:val="yellow"/>
        </w:rPr>
      </w:pPr>
    </w:p>
    <w:tbl>
      <w:tblPr>
        <w:tblStyle w:val="TableGrid"/>
        <w:tblW w:w="8197" w:type="dxa"/>
        <w:jc w:val="center"/>
        <w:tblLook w:val="04A0" w:firstRow="1" w:lastRow="0" w:firstColumn="1" w:lastColumn="0" w:noHBand="0" w:noVBand="1"/>
      </w:tblPr>
      <w:tblGrid>
        <w:gridCol w:w="2878"/>
        <w:gridCol w:w="1084"/>
        <w:gridCol w:w="1084"/>
        <w:gridCol w:w="1084"/>
        <w:gridCol w:w="1084"/>
        <w:gridCol w:w="983"/>
      </w:tblGrid>
      <w:tr w:rsidR="00E27D2F" w:rsidRPr="00882976" w14:paraId="2F03ACA7" w14:textId="77777777" w:rsidTr="00957B05">
        <w:trPr>
          <w:trHeight w:val="684"/>
          <w:jc w:val="center"/>
        </w:trPr>
        <w:tc>
          <w:tcPr>
            <w:tcW w:w="0" w:type="auto"/>
            <w:shd w:val="clear" w:color="auto" w:fill="BFBFBF" w:themeFill="background1" w:themeFillShade="BF"/>
          </w:tcPr>
          <w:p w14:paraId="02C757E8" w14:textId="77777777" w:rsidR="00E27D2F" w:rsidRPr="00882976" w:rsidRDefault="00E27D2F" w:rsidP="005B6A8A">
            <w:pPr>
              <w:tabs>
                <w:tab w:val="left" w:pos="567"/>
                <w:tab w:val="left" w:pos="1134"/>
              </w:tabs>
              <w:spacing w:after="0"/>
              <w:rPr>
                <w:rFonts w:cs="Arial"/>
              </w:rPr>
            </w:pPr>
          </w:p>
        </w:tc>
        <w:tc>
          <w:tcPr>
            <w:tcW w:w="0" w:type="auto"/>
            <w:shd w:val="clear" w:color="auto" w:fill="BFBFBF" w:themeFill="background1" w:themeFillShade="BF"/>
            <w:vAlign w:val="center"/>
          </w:tcPr>
          <w:p w14:paraId="30D1A183" w14:textId="77777777" w:rsidR="00E27D2F" w:rsidRPr="00882976" w:rsidRDefault="00E27D2F" w:rsidP="005B6A8A">
            <w:pPr>
              <w:tabs>
                <w:tab w:val="left" w:pos="567"/>
                <w:tab w:val="left" w:pos="1134"/>
              </w:tabs>
              <w:spacing w:after="0"/>
              <w:jc w:val="center"/>
              <w:rPr>
                <w:rFonts w:cs="Arial"/>
                <w:b/>
              </w:rPr>
            </w:pPr>
            <w:r w:rsidRPr="00882976">
              <w:rPr>
                <w:rFonts w:cs="Arial"/>
                <w:b/>
              </w:rPr>
              <w:t>2017/18</w:t>
            </w:r>
          </w:p>
          <w:p w14:paraId="752DDF40"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BDA9115" w14:textId="77777777" w:rsidR="00E27D2F" w:rsidRPr="00882976" w:rsidRDefault="00E27D2F" w:rsidP="005B6A8A">
            <w:pPr>
              <w:tabs>
                <w:tab w:val="left" w:pos="567"/>
                <w:tab w:val="left" w:pos="1134"/>
              </w:tabs>
              <w:spacing w:after="0"/>
              <w:jc w:val="center"/>
              <w:rPr>
                <w:rFonts w:cs="Arial"/>
                <w:b/>
              </w:rPr>
            </w:pPr>
            <w:r w:rsidRPr="00882976">
              <w:rPr>
                <w:rFonts w:cs="Arial"/>
                <w:b/>
              </w:rPr>
              <w:t>2018/19</w:t>
            </w:r>
          </w:p>
          <w:p w14:paraId="0AFCD622"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20AF8170" w14:textId="77777777" w:rsidR="00E27D2F" w:rsidRPr="00882976" w:rsidRDefault="00E27D2F" w:rsidP="005B6A8A">
            <w:pPr>
              <w:tabs>
                <w:tab w:val="left" w:pos="567"/>
                <w:tab w:val="left" w:pos="1134"/>
              </w:tabs>
              <w:spacing w:after="0"/>
              <w:jc w:val="center"/>
              <w:rPr>
                <w:rFonts w:cs="Arial"/>
                <w:b/>
              </w:rPr>
            </w:pPr>
            <w:r w:rsidRPr="00882976">
              <w:rPr>
                <w:rFonts w:cs="Arial"/>
                <w:b/>
              </w:rPr>
              <w:t>2019/20</w:t>
            </w:r>
          </w:p>
          <w:p w14:paraId="08056A2D"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52C6F492" w14:textId="77777777" w:rsidR="00E27D2F" w:rsidRPr="00882976" w:rsidRDefault="00E27D2F" w:rsidP="005B6A8A">
            <w:pPr>
              <w:tabs>
                <w:tab w:val="left" w:pos="567"/>
                <w:tab w:val="left" w:pos="1134"/>
              </w:tabs>
              <w:spacing w:after="0"/>
              <w:jc w:val="center"/>
              <w:rPr>
                <w:rFonts w:cs="Arial"/>
                <w:b/>
              </w:rPr>
            </w:pPr>
            <w:r w:rsidRPr="00882976">
              <w:rPr>
                <w:rFonts w:cs="Arial"/>
                <w:b/>
              </w:rPr>
              <w:t>2020/21</w:t>
            </w:r>
          </w:p>
          <w:p w14:paraId="35A17608"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983" w:type="dxa"/>
            <w:shd w:val="clear" w:color="auto" w:fill="BFBFBF" w:themeFill="background1" w:themeFillShade="BF"/>
            <w:vAlign w:val="center"/>
          </w:tcPr>
          <w:p w14:paraId="0E39E774" w14:textId="77777777" w:rsidR="00E27D2F" w:rsidRPr="00882976" w:rsidRDefault="00E27D2F" w:rsidP="005B6A8A">
            <w:pPr>
              <w:tabs>
                <w:tab w:val="left" w:pos="567"/>
                <w:tab w:val="left" w:pos="1134"/>
              </w:tabs>
              <w:spacing w:after="0"/>
              <w:jc w:val="center"/>
              <w:rPr>
                <w:rFonts w:cs="Arial"/>
                <w:b/>
              </w:rPr>
            </w:pPr>
            <w:r w:rsidRPr="00882976">
              <w:rPr>
                <w:rFonts w:cs="Arial"/>
                <w:b/>
              </w:rPr>
              <w:t>Total</w:t>
            </w:r>
          </w:p>
          <w:p w14:paraId="5E70F8BF"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r>
      <w:tr w:rsidR="00B63BF2" w:rsidRPr="00882976" w14:paraId="59CF73C7" w14:textId="77777777" w:rsidTr="00957B05">
        <w:trPr>
          <w:trHeight w:val="684"/>
          <w:jc w:val="center"/>
        </w:trPr>
        <w:tc>
          <w:tcPr>
            <w:tcW w:w="0" w:type="auto"/>
            <w:vAlign w:val="center"/>
          </w:tcPr>
          <w:p w14:paraId="3B034069" w14:textId="296B2C23" w:rsidR="00B63BF2" w:rsidRPr="00882976" w:rsidRDefault="00234950" w:rsidP="00B63BF2">
            <w:pPr>
              <w:tabs>
                <w:tab w:val="left" w:pos="567"/>
                <w:tab w:val="left" w:pos="1134"/>
              </w:tabs>
              <w:spacing w:after="0"/>
              <w:jc w:val="left"/>
              <w:rPr>
                <w:rFonts w:cs="Arial"/>
                <w:b/>
              </w:rPr>
            </w:pPr>
            <w:r w:rsidRPr="00882976">
              <w:rPr>
                <w:rFonts w:cs="Arial"/>
                <w:b/>
              </w:rPr>
              <w:t>P</w:t>
            </w:r>
            <w:r w:rsidR="00B63BF2" w:rsidRPr="00882976">
              <w:rPr>
                <w:rFonts w:cs="Arial"/>
                <w:b/>
              </w:rPr>
              <w:t>rice inflation</w:t>
            </w:r>
            <w:r w:rsidRPr="00882976">
              <w:rPr>
                <w:rFonts w:cs="Arial"/>
                <w:b/>
              </w:rPr>
              <w:t xml:space="preserve"> – previous MTFS</w:t>
            </w:r>
          </w:p>
        </w:tc>
        <w:tc>
          <w:tcPr>
            <w:tcW w:w="0" w:type="auto"/>
            <w:vAlign w:val="center"/>
          </w:tcPr>
          <w:p w14:paraId="2C9D0BF2" w14:textId="5BFC1EA9" w:rsidR="00B63BF2" w:rsidRPr="00882976" w:rsidRDefault="00B55F81" w:rsidP="00B63BF2">
            <w:pPr>
              <w:tabs>
                <w:tab w:val="left" w:pos="567"/>
                <w:tab w:val="left" w:pos="1134"/>
              </w:tabs>
              <w:spacing w:after="0"/>
              <w:jc w:val="center"/>
              <w:rPr>
                <w:rFonts w:cs="Arial"/>
              </w:rPr>
            </w:pPr>
            <w:r>
              <w:rPr>
                <w:rFonts w:cs="Arial"/>
              </w:rPr>
              <w:t>19.784</w:t>
            </w:r>
          </w:p>
        </w:tc>
        <w:tc>
          <w:tcPr>
            <w:tcW w:w="0" w:type="auto"/>
            <w:vAlign w:val="center"/>
          </w:tcPr>
          <w:p w14:paraId="1FE01E1B" w14:textId="6BCAF819" w:rsidR="00B63BF2" w:rsidRPr="00882976" w:rsidRDefault="00B63BF2" w:rsidP="00B55F81">
            <w:pPr>
              <w:tabs>
                <w:tab w:val="left" w:pos="567"/>
                <w:tab w:val="left" w:pos="1134"/>
              </w:tabs>
              <w:spacing w:after="0"/>
              <w:jc w:val="center"/>
              <w:rPr>
                <w:rFonts w:cs="Arial"/>
              </w:rPr>
            </w:pPr>
            <w:r w:rsidRPr="00882976">
              <w:rPr>
                <w:rFonts w:cs="Arial"/>
              </w:rPr>
              <w:t>1</w:t>
            </w:r>
            <w:r w:rsidR="00B55F81">
              <w:rPr>
                <w:rFonts w:cs="Arial"/>
              </w:rPr>
              <w:t>4.288</w:t>
            </w:r>
          </w:p>
        </w:tc>
        <w:tc>
          <w:tcPr>
            <w:tcW w:w="0" w:type="auto"/>
            <w:vAlign w:val="center"/>
          </w:tcPr>
          <w:p w14:paraId="73EFA774" w14:textId="6CBA42C5" w:rsidR="00B63BF2" w:rsidRPr="00882976" w:rsidRDefault="00B55F81" w:rsidP="00B63BF2">
            <w:pPr>
              <w:tabs>
                <w:tab w:val="left" w:pos="567"/>
                <w:tab w:val="left" w:pos="1134"/>
              </w:tabs>
              <w:spacing w:after="0"/>
              <w:jc w:val="center"/>
              <w:rPr>
                <w:rFonts w:cs="Arial"/>
              </w:rPr>
            </w:pPr>
            <w:r>
              <w:rPr>
                <w:rFonts w:cs="Arial"/>
              </w:rPr>
              <w:t>16.552</w:t>
            </w:r>
          </w:p>
        </w:tc>
        <w:tc>
          <w:tcPr>
            <w:tcW w:w="0" w:type="auto"/>
            <w:vAlign w:val="center"/>
          </w:tcPr>
          <w:p w14:paraId="4BF80F71" w14:textId="646D071D" w:rsidR="00B63BF2" w:rsidRPr="00882976" w:rsidRDefault="00B55F81" w:rsidP="00B63BF2">
            <w:pPr>
              <w:tabs>
                <w:tab w:val="left" w:pos="567"/>
                <w:tab w:val="left" w:pos="1134"/>
              </w:tabs>
              <w:spacing w:after="0"/>
              <w:jc w:val="center"/>
              <w:rPr>
                <w:rFonts w:cs="Arial"/>
              </w:rPr>
            </w:pPr>
            <w:r>
              <w:rPr>
                <w:rFonts w:cs="Arial"/>
              </w:rPr>
              <w:t>17.955</w:t>
            </w:r>
          </w:p>
        </w:tc>
        <w:tc>
          <w:tcPr>
            <w:tcW w:w="983" w:type="dxa"/>
            <w:vAlign w:val="center"/>
          </w:tcPr>
          <w:p w14:paraId="06753719" w14:textId="100FEC17" w:rsidR="00B63BF2" w:rsidRPr="00882976" w:rsidRDefault="00B55F81" w:rsidP="00B63BF2">
            <w:pPr>
              <w:tabs>
                <w:tab w:val="left" w:pos="567"/>
                <w:tab w:val="left" w:pos="1134"/>
              </w:tabs>
              <w:spacing w:after="0"/>
              <w:jc w:val="center"/>
              <w:rPr>
                <w:rFonts w:cs="Arial"/>
                <w:b/>
              </w:rPr>
            </w:pPr>
            <w:r>
              <w:rPr>
                <w:rFonts w:cs="Arial"/>
                <w:b/>
              </w:rPr>
              <w:t>68.579</w:t>
            </w:r>
          </w:p>
        </w:tc>
      </w:tr>
      <w:tr w:rsidR="00E27D2F" w:rsidRPr="00882976" w14:paraId="7AA64320" w14:textId="77777777" w:rsidTr="00957B05">
        <w:trPr>
          <w:trHeight w:val="401"/>
          <w:jc w:val="center"/>
        </w:trPr>
        <w:tc>
          <w:tcPr>
            <w:tcW w:w="0" w:type="auto"/>
            <w:vAlign w:val="center"/>
          </w:tcPr>
          <w:p w14:paraId="1D381113" w14:textId="77777777" w:rsidR="00E27D2F" w:rsidRPr="00882976" w:rsidRDefault="00E27D2F" w:rsidP="005B6A8A">
            <w:pPr>
              <w:tabs>
                <w:tab w:val="left" w:pos="567"/>
                <w:tab w:val="left" w:pos="1134"/>
              </w:tabs>
              <w:spacing w:after="0"/>
              <w:jc w:val="left"/>
              <w:rPr>
                <w:rFonts w:cs="Arial"/>
              </w:rPr>
            </w:pPr>
          </w:p>
        </w:tc>
        <w:tc>
          <w:tcPr>
            <w:tcW w:w="0" w:type="auto"/>
            <w:vAlign w:val="center"/>
          </w:tcPr>
          <w:p w14:paraId="0AF3D6C1"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47825D37"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6F3EDC2C"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599171FA" w14:textId="77777777" w:rsidR="00E27D2F" w:rsidRPr="00882976" w:rsidRDefault="00E27D2F" w:rsidP="005B6A8A">
            <w:pPr>
              <w:tabs>
                <w:tab w:val="left" w:pos="567"/>
                <w:tab w:val="left" w:pos="1134"/>
              </w:tabs>
              <w:spacing w:after="0"/>
              <w:jc w:val="center"/>
              <w:rPr>
                <w:rFonts w:cs="Arial"/>
              </w:rPr>
            </w:pPr>
          </w:p>
        </w:tc>
        <w:tc>
          <w:tcPr>
            <w:tcW w:w="983" w:type="dxa"/>
            <w:vAlign w:val="center"/>
          </w:tcPr>
          <w:p w14:paraId="3BCE7689" w14:textId="77777777" w:rsidR="00E27D2F" w:rsidRPr="00882976" w:rsidRDefault="00E27D2F" w:rsidP="005B6A8A">
            <w:pPr>
              <w:tabs>
                <w:tab w:val="left" w:pos="567"/>
                <w:tab w:val="left" w:pos="1134"/>
              </w:tabs>
              <w:spacing w:after="0"/>
              <w:jc w:val="center"/>
              <w:rPr>
                <w:rFonts w:cs="Arial"/>
                <w:b/>
              </w:rPr>
            </w:pPr>
          </w:p>
        </w:tc>
      </w:tr>
      <w:tr w:rsidR="00E27D2F" w:rsidRPr="00882976" w14:paraId="2A0B3E78" w14:textId="77777777" w:rsidTr="00957B05">
        <w:trPr>
          <w:trHeight w:val="684"/>
          <w:jc w:val="center"/>
        </w:trPr>
        <w:tc>
          <w:tcPr>
            <w:tcW w:w="0" w:type="auto"/>
            <w:vAlign w:val="center"/>
          </w:tcPr>
          <w:p w14:paraId="06996DE4" w14:textId="4EBA5F58" w:rsidR="00E27D2F" w:rsidRPr="00882976" w:rsidRDefault="00E27D2F" w:rsidP="00F10592">
            <w:pPr>
              <w:tabs>
                <w:tab w:val="left" w:pos="567"/>
                <w:tab w:val="left" w:pos="1134"/>
              </w:tabs>
              <w:spacing w:after="0"/>
              <w:jc w:val="left"/>
              <w:rPr>
                <w:rFonts w:cs="Arial"/>
              </w:rPr>
            </w:pPr>
            <w:r w:rsidRPr="00882976">
              <w:rPr>
                <w:rFonts w:cs="Arial"/>
              </w:rPr>
              <w:t xml:space="preserve">Revised </w:t>
            </w:r>
            <w:r w:rsidR="00F10592" w:rsidRPr="00882976">
              <w:rPr>
                <w:rFonts w:cs="Arial"/>
              </w:rPr>
              <w:t>p</w:t>
            </w:r>
            <w:r w:rsidRPr="00882976">
              <w:rPr>
                <w:rFonts w:cs="Arial"/>
              </w:rPr>
              <w:t xml:space="preserve">rice </w:t>
            </w:r>
            <w:r w:rsidR="00F10592" w:rsidRPr="00882976">
              <w:rPr>
                <w:rFonts w:cs="Arial"/>
              </w:rPr>
              <w:t>inflation r</w:t>
            </w:r>
            <w:r w:rsidRPr="00882976">
              <w:rPr>
                <w:rFonts w:cs="Arial"/>
              </w:rPr>
              <w:t>equirements</w:t>
            </w:r>
          </w:p>
        </w:tc>
        <w:tc>
          <w:tcPr>
            <w:tcW w:w="0" w:type="auto"/>
            <w:vAlign w:val="center"/>
          </w:tcPr>
          <w:p w14:paraId="376D1839" w14:textId="30D42F6C" w:rsidR="00E27D2F" w:rsidRPr="00882976" w:rsidRDefault="00925BB5" w:rsidP="005B6A8A">
            <w:pPr>
              <w:tabs>
                <w:tab w:val="left" w:pos="567"/>
                <w:tab w:val="left" w:pos="1134"/>
              </w:tabs>
              <w:spacing w:after="0"/>
              <w:jc w:val="center"/>
              <w:rPr>
                <w:rFonts w:cs="Arial"/>
              </w:rPr>
            </w:pPr>
            <w:r>
              <w:rPr>
                <w:rFonts w:cs="Arial"/>
              </w:rPr>
              <w:t>20.286</w:t>
            </w:r>
          </w:p>
        </w:tc>
        <w:tc>
          <w:tcPr>
            <w:tcW w:w="0" w:type="auto"/>
            <w:vAlign w:val="center"/>
          </w:tcPr>
          <w:p w14:paraId="6F471D11" w14:textId="4E97A09B" w:rsidR="00E27D2F" w:rsidRPr="00882976" w:rsidRDefault="00925BB5" w:rsidP="005B6A8A">
            <w:pPr>
              <w:tabs>
                <w:tab w:val="left" w:pos="567"/>
                <w:tab w:val="left" w:pos="1134"/>
              </w:tabs>
              <w:spacing w:after="0"/>
              <w:jc w:val="center"/>
              <w:rPr>
                <w:rFonts w:cs="Arial"/>
              </w:rPr>
            </w:pPr>
            <w:r>
              <w:rPr>
                <w:rFonts w:cs="Arial"/>
              </w:rPr>
              <w:t>14.467</w:t>
            </w:r>
          </w:p>
        </w:tc>
        <w:tc>
          <w:tcPr>
            <w:tcW w:w="0" w:type="auto"/>
            <w:vAlign w:val="center"/>
          </w:tcPr>
          <w:p w14:paraId="163317A1" w14:textId="57BFCE12" w:rsidR="00E27D2F" w:rsidRPr="00882976" w:rsidRDefault="00925BB5" w:rsidP="005B6A8A">
            <w:pPr>
              <w:tabs>
                <w:tab w:val="left" w:pos="567"/>
                <w:tab w:val="left" w:pos="1134"/>
              </w:tabs>
              <w:spacing w:after="0"/>
              <w:jc w:val="center"/>
              <w:rPr>
                <w:rFonts w:cs="Arial"/>
              </w:rPr>
            </w:pPr>
            <w:r>
              <w:rPr>
                <w:rFonts w:cs="Arial"/>
              </w:rPr>
              <w:t>16.561</w:t>
            </w:r>
          </w:p>
        </w:tc>
        <w:tc>
          <w:tcPr>
            <w:tcW w:w="0" w:type="auto"/>
            <w:vAlign w:val="center"/>
          </w:tcPr>
          <w:p w14:paraId="411E381B" w14:textId="73E6F600" w:rsidR="00E27D2F" w:rsidRPr="00882976" w:rsidRDefault="00925BB5" w:rsidP="005B6A8A">
            <w:pPr>
              <w:tabs>
                <w:tab w:val="left" w:pos="567"/>
                <w:tab w:val="left" w:pos="1134"/>
              </w:tabs>
              <w:spacing w:after="0"/>
              <w:jc w:val="center"/>
              <w:rPr>
                <w:rFonts w:cs="Arial"/>
              </w:rPr>
            </w:pPr>
            <w:r>
              <w:rPr>
                <w:rFonts w:cs="Arial"/>
              </w:rPr>
              <w:t>18.070</w:t>
            </w:r>
          </w:p>
        </w:tc>
        <w:tc>
          <w:tcPr>
            <w:tcW w:w="983" w:type="dxa"/>
            <w:vAlign w:val="center"/>
          </w:tcPr>
          <w:p w14:paraId="3F5B3BA0" w14:textId="66D4AFE6" w:rsidR="00E27D2F" w:rsidRPr="00882976" w:rsidRDefault="00925BB5" w:rsidP="005B6A8A">
            <w:pPr>
              <w:tabs>
                <w:tab w:val="left" w:pos="567"/>
                <w:tab w:val="left" w:pos="1134"/>
              </w:tabs>
              <w:spacing w:after="0"/>
              <w:jc w:val="center"/>
              <w:rPr>
                <w:rFonts w:cs="Arial"/>
                <w:b/>
              </w:rPr>
            </w:pPr>
            <w:r>
              <w:rPr>
                <w:rFonts w:cs="Arial"/>
                <w:b/>
              </w:rPr>
              <w:t>69.384</w:t>
            </w:r>
          </w:p>
        </w:tc>
      </w:tr>
      <w:tr w:rsidR="00E27D2F" w:rsidRPr="00882976" w14:paraId="3DBBB60D" w14:textId="77777777" w:rsidTr="00957B05">
        <w:trPr>
          <w:trHeight w:val="431"/>
          <w:jc w:val="center"/>
        </w:trPr>
        <w:tc>
          <w:tcPr>
            <w:tcW w:w="0" w:type="auto"/>
            <w:vAlign w:val="center"/>
          </w:tcPr>
          <w:p w14:paraId="30EE4A0B" w14:textId="77777777" w:rsidR="00E27D2F" w:rsidRPr="00882976" w:rsidRDefault="00E27D2F" w:rsidP="005B6A8A">
            <w:pPr>
              <w:tabs>
                <w:tab w:val="left" w:pos="567"/>
                <w:tab w:val="left" w:pos="1134"/>
              </w:tabs>
              <w:spacing w:after="0"/>
              <w:jc w:val="left"/>
              <w:rPr>
                <w:rFonts w:cs="Arial"/>
              </w:rPr>
            </w:pPr>
          </w:p>
        </w:tc>
        <w:tc>
          <w:tcPr>
            <w:tcW w:w="0" w:type="auto"/>
            <w:vAlign w:val="center"/>
          </w:tcPr>
          <w:p w14:paraId="409B5EB0"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238C65D9"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5C2BFC7D"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1E822C44" w14:textId="77777777" w:rsidR="00E27D2F" w:rsidRPr="00882976" w:rsidRDefault="00E27D2F" w:rsidP="005B6A8A">
            <w:pPr>
              <w:tabs>
                <w:tab w:val="left" w:pos="567"/>
                <w:tab w:val="left" w:pos="1134"/>
              </w:tabs>
              <w:spacing w:after="0"/>
              <w:jc w:val="center"/>
              <w:rPr>
                <w:rFonts w:cs="Arial"/>
              </w:rPr>
            </w:pPr>
          </w:p>
        </w:tc>
        <w:tc>
          <w:tcPr>
            <w:tcW w:w="983" w:type="dxa"/>
            <w:vAlign w:val="center"/>
          </w:tcPr>
          <w:p w14:paraId="02E8F2EA" w14:textId="77777777" w:rsidR="00E27D2F" w:rsidRPr="00882976" w:rsidRDefault="00E27D2F" w:rsidP="005B6A8A">
            <w:pPr>
              <w:tabs>
                <w:tab w:val="left" w:pos="567"/>
                <w:tab w:val="left" w:pos="1134"/>
              </w:tabs>
              <w:spacing w:after="0"/>
              <w:jc w:val="center"/>
              <w:rPr>
                <w:rFonts w:cs="Arial"/>
                <w:b/>
              </w:rPr>
            </w:pPr>
          </w:p>
        </w:tc>
      </w:tr>
      <w:tr w:rsidR="00E27D2F" w:rsidRPr="00882976" w14:paraId="36C50EBF" w14:textId="77777777" w:rsidTr="00957B05">
        <w:trPr>
          <w:trHeight w:val="684"/>
          <w:jc w:val="center"/>
        </w:trPr>
        <w:tc>
          <w:tcPr>
            <w:tcW w:w="0" w:type="auto"/>
            <w:vAlign w:val="center"/>
          </w:tcPr>
          <w:p w14:paraId="30C702E3" w14:textId="527A9C86" w:rsidR="00E27D2F" w:rsidRPr="00882976" w:rsidRDefault="00E27D2F" w:rsidP="005B6A8A">
            <w:pPr>
              <w:tabs>
                <w:tab w:val="left" w:pos="567"/>
                <w:tab w:val="left" w:pos="1134"/>
              </w:tabs>
              <w:spacing w:after="0"/>
              <w:jc w:val="left"/>
              <w:rPr>
                <w:rFonts w:cs="Arial"/>
                <w:b/>
              </w:rPr>
            </w:pPr>
            <w:r w:rsidRPr="00882976">
              <w:rPr>
                <w:rFonts w:cs="Arial"/>
                <w:b/>
              </w:rPr>
              <w:t>Impact on Financial Gap</w:t>
            </w:r>
          </w:p>
        </w:tc>
        <w:tc>
          <w:tcPr>
            <w:tcW w:w="0" w:type="auto"/>
            <w:vAlign w:val="center"/>
          </w:tcPr>
          <w:p w14:paraId="5DC68EDD" w14:textId="70AC6A18" w:rsidR="00E27D2F" w:rsidRPr="00882976" w:rsidRDefault="00925BB5" w:rsidP="00925BB5">
            <w:pPr>
              <w:tabs>
                <w:tab w:val="left" w:pos="567"/>
                <w:tab w:val="left" w:pos="1134"/>
              </w:tabs>
              <w:spacing w:after="0"/>
              <w:jc w:val="center"/>
              <w:rPr>
                <w:rFonts w:cs="Arial"/>
                <w:b/>
              </w:rPr>
            </w:pPr>
            <w:r>
              <w:rPr>
                <w:rFonts w:cs="Arial"/>
                <w:b/>
              </w:rPr>
              <w:t>0.502</w:t>
            </w:r>
          </w:p>
        </w:tc>
        <w:tc>
          <w:tcPr>
            <w:tcW w:w="0" w:type="auto"/>
            <w:vAlign w:val="center"/>
          </w:tcPr>
          <w:p w14:paraId="25638A4E" w14:textId="3BCADFB1" w:rsidR="00E27D2F" w:rsidRPr="00882976" w:rsidRDefault="00925BB5" w:rsidP="00234950">
            <w:pPr>
              <w:tabs>
                <w:tab w:val="left" w:pos="567"/>
                <w:tab w:val="left" w:pos="1134"/>
              </w:tabs>
              <w:spacing w:after="0"/>
              <w:jc w:val="center"/>
              <w:rPr>
                <w:rFonts w:cs="Arial"/>
                <w:b/>
              </w:rPr>
            </w:pPr>
            <w:r>
              <w:rPr>
                <w:rFonts w:cs="Arial"/>
                <w:b/>
              </w:rPr>
              <w:t>0.179</w:t>
            </w:r>
          </w:p>
        </w:tc>
        <w:tc>
          <w:tcPr>
            <w:tcW w:w="0" w:type="auto"/>
            <w:vAlign w:val="center"/>
          </w:tcPr>
          <w:p w14:paraId="76BD99E4" w14:textId="66FCF6BF" w:rsidR="00E27D2F" w:rsidRPr="00882976" w:rsidRDefault="00925BB5" w:rsidP="00234950">
            <w:pPr>
              <w:tabs>
                <w:tab w:val="left" w:pos="567"/>
                <w:tab w:val="left" w:pos="1134"/>
              </w:tabs>
              <w:spacing w:after="0"/>
              <w:jc w:val="center"/>
              <w:rPr>
                <w:rFonts w:cs="Arial"/>
                <w:b/>
              </w:rPr>
            </w:pPr>
            <w:r>
              <w:rPr>
                <w:rFonts w:cs="Arial"/>
                <w:b/>
              </w:rPr>
              <w:t>0.009</w:t>
            </w:r>
          </w:p>
        </w:tc>
        <w:tc>
          <w:tcPr>
            <w:tcW w:w="0" w:type="auto"/>
            <w:vAlign w:val="center"/>
          </w:tcPr>
          <w:p w14:paraId="62C5AB93" w14:textId="4996DAE6" w:rsidR="00E27D2F" w:rsidRPr="00882976" w:rsidRDefault="00925BB5" w:rsidP="005B6A8A">
            <w:pPr>
              <w:tabs>
                <w:tab w:val="left" w:pos="567"/>
                <w:tab w:val="left" w:pos="1134"/>
              </w:tabs>
              <w:spacing w:after="0"/>
              <w:jc w:val="center"/>
              <w:rPr>
                <w:rFonts w:cs="Arial"/>
                <w:b/>
              </w:rPr>
            </w:pPr>
            <w:r>
              <w:rPr>
                <w:rFonts w:cs="Arial"/>
                <w:b/>
              </w:rPr>
              <w:t>0.115</w:t>
            </w:r>
          </w:p>
        </w:tc>
        <w:tc>
          <w:tcPr>
            <w:tcW w:w="983" w:type="dxa"/>
            <w:vAlign w:val="center"/>
          </w:tcPr>
          <w:p w14:paraId="54540808" w14:textId="4B8DA432" w:rsidR="00E27D2F" w:rsidRPr="00882976" w:rsidRDefault="00925BB5" w:rsidP="00E27D2F">
            <w:pPr>
              <w:tabs>
                <w:tab w:val="left" w:pos="567"/>
                <w:tab w:val="left" w:pos="1134"/>
              </w:tabs>
              <w:spacing w:after="0"/>
              <w:jc w:val="center"/>
              <w:rPr>
                <w:rFonts w:cs="Arial"/>
                <w:b/>
              </w:rPr>
            </w:pPr>
            <w:r>
              <w:rPr>
                <w:rFonts w:cs="Arial"/>
                <w:b/>
              </w:rPr>
              <w:t>0.805</w:t>
            </w:r>
          </w:p>
        </w:tc>
      </w:tr>
    </w:tbl>
    <w:p w14:paraId="0C68572A" w14:textId="77777777" w:rsidR="002A09EE" w:rsidRPr="00882976" w:rsidRDefault="002A09EE" w:rsidP="002A09EE">
      <w:pPr>
        <w:spacing w:after="0"/>
        <w:rPr>
          <w:rFonts w:cs="Arial"/>
        </w:rPr>
      </w:pPr>
    </w:p>
    <w:p w14:paraId="19E4AA5F" w14:textId="77777777" w:rsidR="002A09EE" w:rsidRPr="00882976" w:rsidRDefault="002A09EE" w:rsidP="002A09EE">
      <w:pPr>
        <w:spacing w:after="0"/>
        <w:rPr>
          <w:rFonts w:cs="Arial"/>
        </w:rPr>
      </w:pPr>
      <w:r w:rsidRPr="00882976">
        <w:rPr>
          <w:rFonts w:cs="Arial"/>
        </w:rPr>
        <w:t>Some of the key areas of price pressure are:</w:t>
      </w:r>
    </w:p>
    <w:p w14:paraId="7468B641" w14:textId="77777777" w:rsidR="002A09EE" w:rsidRPr="00882976" w:rsidRDefault="002A09EE" w:rsidP="002A09EE">
      <w:pPr>
        <w:spacing w:after="0"/>
        <w:rPr>
          <w:rFonts w:cs="Arial"/>
        </w:rPr>
      </w:pPr>
    </w:p>
    <w:p w14:paraId="5CC09F17" w14:textId="42CB9ED2" w:rsidR="00502E60" w:rsidRPr="00882976" w:rsidRDefault="00502E60" w:rsidP="00882976">
      <w:pPr>
        <w:pStyle w:val="ListParagraph"/>
        <w:numPr>
          <w:ilvl w:val="0"/>
          <w:numId w:val="29"/>
        </w:numPr>
        <w:spacing w:after="0"/>
        <w:rPr>
          <w:rFonts w:cs="Arial"/>
        </w:rPr>
      </w:pPr>
      <w:r w:rsidRPr="00882976">
        <w:rPr>
          <w:rFonts w:cs="Arial"/>
        </w:rPr>
        <w:t>A significant part of the</w:t>
      </w:r>
      <w:r w:rsidR="0065595B" w:rsidRPr="00882976">
        <w:rPr>
          <w:rFonts w:cs="Arial"/>
        </w:rPr>
        <w:t xml:space="preserve"> price pressure</w:t>
      </w:r>
      <w:r w:rsidRPr="00882976">
        <w:rPr>
          <w:rFonts w:cs="Arial"/>
        </w:rPr>
        <w:t>s shown</w:t>
      </w:r>
      <w:r w:rsidR="0065595B" w:rsidRPr="00882976">
        <w:rPr>
          <w:rFonts w:cs="Arial"/>
        </w:rPr>
        <w:t xml:space="preserve"> in the above table relate to in</w:t>
      </w:r>
      <w:r w:rsidR="008A4FCE" w:rsidRPr="00882976">
        <w:rPr>
          <w:rFonts w:cs="Arial"/>
        </w:rPr>
        <w:t>flationary pressures within Adults Services. This is calculated using a model designed by La</w:t>
      </w:r>
      <w:r w:rsidR="00D82EA9">
        <w:rPr>
          <w:rFonts w:cs="Arial"/>
        </w:rPr>
        <w:t>i</w:t>
      </w:r>
      <w:r w:rsidR="008A4FCE" w:rsidRPr="00882976">
        <w:rPr>
          <w:rFonts w:cs="Arial"/>
        </w:rPr>
        <w:t xml:space="preserve">ng and Buisson which is commonly used to estimate inflation within social care. It is forecast that a budget requirement of </w:t>
      </w:r>
      <w:r w:rsidR="003307E7">
        <w:rPr>
          <w:rFonts w:cs="Arial"/>
        </w:rPr>
        <w:t>£46.224</w:t>
      </w:r>
      <w:r w:rsidR="005D7E94" w:rsidRPr="00882976">
        <w:rPr>
          <w:rFonts w:cs="Arial"/>
        </w:rPr>
        <w:t xml:space="preserve">m </w:t>
      </w:r>
      <w:r w:rsidR="002A09EE" w:rsidRPr="00882976">
        <w:rPr>
          <w:rFonts w:cs="Arial"/>
        </w:rPr>
        <w:t xml:space="preserve">over the </w:t>
      </w:r>
      <w:r w:rsidR="00E27D2F" w:rsidRPr="00882976">
        <w:rPr>
          <w:rFonts w:cs="Arial"/>
        </w:rPr>
        <w:t xml:space="preserve">MTFS </w:t>
      </w:r>
      <w:r w:rsidR="002A09EE" w:rsidRPr="00882976">
        <w:rPr>
          <w:rFonts w:cs="Arial"/>
        </w:rPr>
        <w:t>period</w:t>
      </w:r>
      <w:r w:rsidR="00E27D2F" w:rsidRPr="00882976">
        <w:rPr>
          <w:rFonts w:cs="Arial"/>
        </w:rPr>
        <w:t xml:space="preserve"> </w:t>
      </w:r>
      <w:r w:rsidR="008A4FCE" w:rsidRPr="00882976">
        <w:rPr>
          <w:rFonts w:cs="Arial"/>
        </w:rPr>
        <w:t>is required for</w:t>
      </w:r>
      <w:r w:rsidR="002A09EE" w:rsidRPr="00882976">
        <w:rPr>
          <w:rFonts w:cs="Arial"/>
        </w:rPr>
        <w:t xml:space="preserve"> payments to external providers of social care </w:t>
      </w:r>
      <w:r w:rsidR="00E64FE0">
        <w:rPr>
          <w:rFonts w:cs="Arial"/>
        </w:rPr>
        <w:t xml:space="preserve">(excluding the impact of the National Living Wage) </w:t>
      </w:r>
      <w:r w:rsidR="008A4FCE" w:rsidRPr="00882976">
        <w:rPr>
          <w:rFonts w:cs="Arial"/>
        </w:rPr>
        <w:t>and it is important that the</w:t>
      </w:r>
      <w:r w:rsidR="002A09EE" w:rsidRPr="00882976">
        <w:rPr>
          <w:rFonts w:cs="Arial"/>
        </w:rPr>
        <w:t xml:space="preserve"> County Council </w:t>
      </w:r>
      <w:r w:rsidR="008A4FCE" w:rsidRPr="00882976">
        <w:rPr>
          <w:rFonts w:cs="Arial"/>
        </w:rPr>
        <w:t>k</w:t>
      </w:r>
      <w:r w:rsidR="002A09EE" w:rsidRPr="00882976">
        <w:rPr>
          <w:rFonts w:cs="Arial"/>
        </w:rPr>
        <w:t>eep</w:t>
      </w:r>
      <w:r w:rsidR="008A4FCE" w:rsidRPr="00882976">
        <w:rPr>
          <w:rFonts w:cs="Arial"/>
        </w:rPr>
        <w:t>s</w:t>
      </w:r>
      <w:r w:rsidR="002A09EE" w:rsidRPr="00882976">
        <w:rPr>
          <w:rFonts w:cs="Arial"/>
        </w:rPr>
        <w:t xml:space="preserve"> up with increases in the price of resources for suppliers</w:t>
      </w:r>
      <w:r w:rsidR="008A4FCE" w:rsidRPr="00882976">
        <w:rPr>
          <w:rFonts w:cs="Arial"/>
        </w:rPr>
        <w:t xml:space="preserve"> to ensure the required service provision is delivered</w:t>
      </w:r>
      <w:r w:rsidR="002A09EE" w:rsidRPr="00882976">
        <w:rPr>
          <w:rFonts w:cs="Arial"/>
        </w:rPr>
        <w:t xml:space="preserve">. </w:t>
      </w:r>
    </w:p>
    <w:p w14:paraId="0896986C" w14:textId="77777777" w:rsidR="00502E60" w:rsidRPr="00882976" w:rsidRDefault="00502E60" w:rsidP="00502E60">
      <w:pPr>
        <w:pStyle w:val="ListParagraph"/>
        <w:spacing w:after="0"/>
        <w:rPr>
          <w:rFonts w:cs="Arial"/>
        </w:rPr>
      </w:pPr>
    </w:p>
    <w:p w14:paraId="3BC156F1" w14:textId="4534B860" w:rsidR="00502E60" w:rsidRPr="00882976" w:rsidRDefault="00502E60" w:rsidP="00502E60">
      <w:pPr>
        <w:pStyle w:val="ListParagraph"/>
        <w:spacing w:after="0"/>
        <w:rPr>
          <w:rFonts w:cs="Arial"/>
        </w:rPr>
      </w:pPr>
      <w:r w:rsidRPr="00882976">
        <w:rPr>
          <w:rFonts w:cs="Arial"/>
        </w:rPr>
        <w:t>The price inflation included in the MTFS for Adults Service is profiled as follows:</w:t>
      </w:r>
    </w:p>
    <w:p w14:paraId="2D0EC1EA" w14:textId="4C8B3B0E" w:rsidR="00502E60" w:rsidRPr="00882976" w:rsidRDefault="003307E7" w:rsidP="00882976">
      <w:pPr>
        <w:pStyle w:val="ListParagraph"/>
        <w:numPr>
          <w:ilvl w:val="1"/>
          <w:numId w:val="29"/>
        </w:numPr>
        <w:spacing w:after="0"/>
        <w:jc w:val="left"/>
        <w:rPr>
          <w:rFonts w:cs="Arial"/>
        </w:rPr>
      </w:pPr>
      <w:r>
        <w:rPr>
          <w:rFonts w:cs="Arial"/>
        </w:rPr>
        <w:t>2017/18 – £14.734</w:t>
      </w:r>
      <w:r w:rsidR="00502E60" w:rsidRPr="00882976">
        <w:rPr>
          <w:rFonts w:cs="Arial"/>
        </w:rPr>
        <w:t>m</w:t>
      </w:r>
    </w:p>
    <w:p w14:paraId="223E53F0" w14:textId="43E804DD" w:rsidR="00502E60" w:rsidRPr="00882976" w:rsidRDefault="003307E7" w:rsidP="00882976">
      <w:pPr>
        <w:pStyle w:val="ListParagraph"/>
        <w:numPr>
          <w:ilvl w:val="1"/>
          <w:numId w:val="29"/>
        </w:numPr>
        <w:spacing w:after="0"/>
        <w:jc w:val="left"/>
        <w:rPr>
          <w:rFonts w:cs="Arial"/>
        </w:rPr>
      </w:pPr>
      <w:r>
        <w:rPr>
          <w:rFonts w:cs="Arial"/>
        </w:rPr>
        <w:t>2018/19 - £9.847</w:t>
      </w:r>
      <w:r w:rsidR="00502E60" w:rsidRPr="00882976">
        <w:rPr>
          <w:rFonts w:cs="Arial"/>
        </w:rPr>
        <w:t>m</w:t>
      </w:r>
    </w:p>
    <w:p w14:paraId="43F038FA" w14:textId="681DDD7D" w:rsidR="00502E60" w:rsidRPr="00882976" w:rsidRDefault="003307E7" w:rsidP="00882976">
      <w:pPr>
        <w:pStyle w:val="ListParagraph"/>
        <w:numPr>
          <w:ilvl w:val="1"/>
          <w:numId w:val="29"/>
        </w:numPr>
        <w:spacing w:after="0"/>
        <w:jc w:val="left"/>
        <w:rPr>
          <w:rFonts w:cs="Arial"/>
        </w:rPr>
      </w:pPr>
      <w:r>
        <w:rPr>
          <w:rFonts w:cs="Arial"/>
        </w:rPr>
        <w:t>2019/20 - £10.404</w:t>
      </w:r>
      <w:r w:rsidR="00502E60" w:rsidRPr="00882976">
        <w:rPr>
          <w:rFonts w:cs="Arial"/>
        </w:rPr>
        <w:t>m</w:t>
      </w:r>
    </w:p>
    <w:p w14:paraId="2A320C0B" w14:textId="596AB3D2" w:rsidR="00502E60" w:rsidRPr="00882976" w:rsidRDefault="003307E7" w:rsidP="00882976">
      <w:pPr>
        <w:pStyle w:val="ListParagraph"/>
        <w:numPr>
          <w:ilvl w:val="1"/>
          <w:numId w:val="29"/>
        </w:numPr>
        <w:spacing w:after="0"/>
        <w:jc w:val="left"/>
        <w:rPr>
          <w:rFonts w:cs="Arial"/>
        </w:rPr>
      </w:pPr>
      <w:r>
        <w:rPr>
          <w:rFonts w:cs="Arial"/>
        </w:rPr>
        <w:t>2020/21 - £11.239</w:t>
      </w:r>
      <w:r w:rsidR="00502E60" w:rsidRPr="00882976">
        <w:rPr>
          <w:rFonts w:cs="Arial"/>
        </w:rPr>
        <w:t>m</w:t>
      </w:r>
    </w:p>
    <w:p w14:paraId="5D04DA43" w14:textId="77777777" w:rsidR="00502E60" w:rsidRPr="00882976" w:rsidRDefault="00502E60" w:rsidP="00502E60">
      <w:pPr>
        <w:pStyle w:val="ListParagraph"/>
        <w:spacing w:after="0"/>
        <w:rPr>
          <w:rFonts w:cs="Arial"/>
        </w:rPr>
      </w:pPr>
    </w:p>
    <w:p w14:paraId="2C8618D9" w14:textId="3392360B" w:rsidR="008E0918" w:rsidRPr="00882976" w:rsidRDefault="005D7E94" w:rsidP="007D4A71">
      <w:pPr>
        <w:pStyle w:val="ListParagraph"/>
        <w:spacing w:after="0"/>
        <w:rPr>
          <w:rFonts w:cs="Arial"/>
        </w:rPr>
      </w:pPr>
      <w:r w:rsidRPr="00882976">
        <w:rPr>
          <w:rFonts w:cs="Arial"/>
        </w:rPr>
        <w:t>Th</w:t>
      </w:r>
      <w:r w:rsidR="007D4A71" w:rsidRPr="00882976">
        <w:rPr>
          <w:rFonts w:cs="Arial"/>
        </w:rPr>
        <w:t>e inflationary pressures included in this MTFS</w:t>
      </w:r>
      <w:r w:rsidRPr="00882976">
        <w:rPr>
          <w:rFonts w:cs="Arial"/>
        </w:rPr>
        <w:t xml:space="preserve"> </w:t>
      </w:r>
      <w:r w:rsidR="003307E7">
        <w:rPr>
          <w:rFonts w:cs="Arial"/>
        </w:rPr>
        <w:t>for Adults Services reflects an increase</w:t>
      </w:r>
      <w:r w:rsidRPr="00882976">
        <w:rPr>
          <w:rFonts w:cs="Arial"/>
        </w:rPr>
        <w:t xml:space="preserve"> of £</w:t>
      </w:r>
      <w:r w:rsidR="003307E7">
        <w:rPr>
          <w:rFonts w:cs="Arial"/>
        </w:rPr>
        <w:t>0.805</w:t>
      </w:r>
      <w:r w:rsidRPr="00882976">
        <w:rPr>
          <w:rFonts w:cs="Arial"/>
        </w:rPr>
        <w:t xml:space="preserve">m following </w:t>
      </w:r>
      <w:r w:rsidR="003307E7">
        <w:rPr>
          <w:rFonts w:cs="Arial"/>
        </w:rPr>
        <w:t xml:space="preserve">updated inflationary information </w:t>
      </w:r>
      <w:r w:rsidRPr="00882976">
        <w:rPr>
          <w:rFonts w:cs="Arial"/>
        </w:rPr>
        <w:t xml:space="preserve">figures based on the most up to date information available. </w:t>
      </w:r>
      <w:r w:rsidR="002A09EE" w:rsidRPr="00882976">
        <w:rPr>
          <w:rFonts w:cs="Arial"/>
        </w:rPr>
        <w:t xml:space="preserve">The County Council has a legal </w:t>
      </w:r>
      <w:r w:rsidR="002A09EE" w:rsidRPr="00882976">
        <w:rPr>
          <w:rFonts w:cs="Arial"/>
        </w:rPr>
        <w:lastRenderedPageBreak/>
        <w:t>r</w:t>
      </w:r>
      <w:r w:rsidR="00D82EA9">
        <w:rPr>
          <w:rFonts w:cs="Arial"/>
        </w:rPr>
        <w:t>esponsibility to demonstrate that</w:t>
      </w:r>
      <w:r w:rsidR="002A09EE" w:rsidRPr="00882976">
        <w:rPr>
          <w:rFonts w:cs="Arial"/>
        </w:rPr>
        <w:t xml:space="preserve"> suppliers are able to deliver services with the fees paid to them.</w:t>
      </w:r>
      <w:r w:rsidR="00E27D2F" w:rsidRPr="00882976">
        <w:rPr>
          <w:rFonts w:cs="Arial"/>
        </w:rPr>
        <w:t xml:space="preserve"> </w:t>
      </w:r>
      <w:r w:rsidR="00AC67F1" w:rsidRPr="00882976">
        <w:rPr>
          <w:rFonts w:cs="Arial"/>
        </w:rPr>
        <w:t xml:space="preserve">This figure also incorporates recent fee increases </w:t>
      </w:r>
      <w:r w:rsidR="004E47A9" w:rsidRPr="00882976">
        <w:rPr>
          <w:rFonts w:cs="Arial"/>
        </w:rPr>
        <w:t>of £5.2</w:t>
      </w:r>
      <w:r w:rsidR="007D4A71" w:rsidRPr="00882976">
        <w:rPr>
          <w:rFonts w:cs="Arial"/>
        </w:rPr>
        <w:t>00</w:t>
      </w:r>
      <w:r w:rsidR="004E47A9" w:rsidRPr="00882976">
        <w:rPr>
          <w:rFonts w:cs="Arial"/>
        </w:rPr>
        <w:t xml:space="preserve">m </w:t>
      </w:r>
      <w:r w:rsidR="00AC67F1" w:rsidRPr="00882976">
        <w:rPr>
          <w:rFonts w:cs="Arial"/>
        </w:rPr>
        <w:t>that were agreed by the Cabinet Member</w:t>
      </w:r>
      <w:r w:rsidR="00E6630C" w:rsidRPr="00882976">
        <w:rPr>
          <w:rFonts w:cs="Arial"/>
        </w:rPr>
        <w:t xml:space="preserve"> </w:t>
      </w:r>
      <w:r w:rsidR="00270A7A" w:rsidRPr="00882976">
        <w:rPr>
          <w:rFonts w:cs="Arial"/>
        </w:rPr>
        <w:t>which</w:t>
      </w:r>
      <w:r w:rsidR="00E6630C" w:rsidRPr="00882976">
        <w:rPr>
          <w:rFonts w:cs="Arial"/>
        </w:rPr>
        <w:t xml:space="preserve"> is the main reason behind the additional requirement in 2017/18. </w:t>
      </w:r>
    </w:p>
    <w:p w14:paraId="0EFC0B2F" w14:textId="77777777" w:rsidR="008E0918" w:rsidRPr="00882976" w:rsidRDefault="008E0918" w:rsidP="002A09EE">
      <w:pPr>
        <w:spacing w:after="0"/>
        <w:rPr>
          <w:rFonts w:cs="Arial"/>
        </w:rPr>
      </w:pPr>
    </w:p>
    <w:p w14:paraId="7841AF2C" w14:textId="084BAACE" w:rsidR="00C37DF8" w:rsidRDefault="008A4FCE" w:rsidP="0047237E">
      <w:pPr>
        <w:pStyle w:val="ListParagraph"/>
        <w:numPr>
          <w:ilvl w:val="0"/>
          <w:numId w:val="27"/>
        </w:numPr>
        <w:spacing w:after="0"/>
        <w:rPr>
          <w:rFonts w:cs="Arial"/>
        </w:rPr>
      </w:pPr>
      <w:r w:rsidRPr="006A2B5C">
        <w:rPr>
          <w:rFonts w:cs="Arial"/>
        </w:rPr>
        <w:t>Waste Disposal continues to require significant budget to meet inflationary commitments over the next four years. In total the budget requi</w:t>
      </w:r>
      <w:r w:rsidR="00B637A8" w:rsidRPr="006A2B5C">
        <w:rPr>
          <w:rFonts w:cs="Arial"/>
        </w:rPr>
        <w:t>rement for the service is £</w:t>
      </w:r>
      <w:r w:rsidR="006A2B5C" w:rsidRPr="006A2B5C">
        <w:rPr>
          <w:rFonts w:cs="Arial"/>
        </w:rPr>
        <w:t>9.055</w:t>
      </w:r>
      <w:r w:rsidRPr="006A2B5C">
        <w:rPr>
          <w:rFonts w:cs="Arial"/>
        </w:rPr>
        <w:t>m</w:t>
      </w:r>
      <w:r w:rsidR="00F7670E" w:rsidRPr="006A2B5C">
        <w:rPr>
          <w:rFonts w:cs="Arial"/>
        </w:rPr>
        <w:t>.</w:t>
      </w:r>
      <w:r w:rsidR="002A09EE" w:rsidRPr="006A2B5C">
        <w:rPr>
          <w:rFonts w:cs="Arial"/>
        </w:rPr>
        <w:t xml:space="preserve"> </w:t>
      </w:r>
      <w:r w:rsidR="006A2B5C" w:rsidRPr="006A2B5C">
        <w:rPr>
          <w:rFonts w:cs="Arial"/>
        </w:rPr>
        <w:t>This</w:t>
      </w:r>
      <w:r w:rsidR="004E47A9" w:rsidRPr="006A2B5C">
        <w:rPr>
          <w:rFonts w:cs="Arial"/>
        </w:rPr>
        <w:t xml:space="preserve"> requirement </w:t>
      </w:r>
      <w:r w:rsidR="006A2B5C">
        <w:rPr>
          <w:rFonts w:cs="Arial"/>
        </w:rPr>
        <w:t xml:space="preserve">has not changed since the previous MTFS presented to Cabinet. </w:t>
      </w:r>
    </w:p>
    <w:p w14:paraId="7507DF64" w14:textId="77777777" w:rsidR="006A2B5C" w:rsidRPr="006A2B5C" w:rsidRDefault="006A2B5C" w:rsidP="006A2B5C">
      <w:pPr>
        <w:pStyle w:val="ListParagraph"/>
        <w:spacing w:after="0"/>
        <w:rPr>
          <w:rFonts w:cs="Arial"/>
        </w:rPr>
      </w:pPr>
    </w:p>
    <w:p w14:paraId="6CF87914" w14:textId="5CBF8C86" w:rsidR="002A09EE" w:rsidRPr="00882976" w:rsidRDefault="008A4FCE" w:rsidP="00882976">
      <w:pPr>
        <w:pStyle w:val="ListParagraph"/>
        <w:numPr>
          <w:ilvl w:val="0"/>
          <w:numId w:val="27"/>
        </w:numPr>
        <w:autoSpaceDE/>
        <w:autoSpaceDN/>
        <w:adjustRightInd/>
        <w:spacing w:after="0"/>
        <w:rPr>
          <w:rFonts w:cs="Arial"/>
        </w:rPr>
      </w:pPr>
      <w:r w:rsidRPr="00882976">
        <w:rPr>
          <w:rFonts w:cs="Arial"/>
        </w:rPr>
        <w:t>Children's Social Care is the fina</w:t>
      </w:r>
      <w:r w:rsidR="006A2B5C">
        <w:rPr>
          <w:rFonts w:cs="Arial"/>
        </w:rPr>
        <w:t>l significant area that requires</w:t>
      </w:r>
      <w:r w:rsidRPr="00882976">
        <w:rPr>
          <w:rFonts w:cs="Arial"/>
        </w:rPr>
        <w:t xml:space="preserve"> price inflation within its budget. In the</w:t>
      </w:r>
      <w:r w:rsidR="003307E7">
        <w:rPr>
          <w:rFonts w:cs="Arial"/>
        </w:rPr>
        <w:t xml:space="preserve"> previous MTFS a total of £</w:t>
      </w:r>
      <w:r w:rsidR="006A2B5C">
        <w:rPr>
          <w:rFonts w:cs="Arial"/>
        </w:rPr>
        <w:t>7</w:t>
      </w:r>
      <w:r w:rsidR="003307E7">
        <w:rPr>
          <w:rFonts w:cs="Arial"/>
        </w:rPr>
        <w:t>.344</w:t>
      </w:r>
      <w:r w:rsidRPr="00882976">
        <w:rPr>
          <w:rFonts w:cs="Arial"/>
        </w:rPr>
        <w:t xml:space="preserve">m was included for items that will inflate such as </w:t>
      </w:r>
      <w:r w:rsidR="002A09EE" w:rsidRPr="00882976">
        <w:rPr>
          <w:rFonts w:cs="Arial"/>
        </w:rPr>
        <w:t>agency payments, residence orders, foster and other al</w:t>
      </w:r>
      <w:r w:rsidR="006A2B5C">
        <w:rPr>
          <w:rFonts w:cs="Arial"/>
        </w:rPr>
        <w:t xml:space="preserve">lowances and payments to health and this has remained unchanged for this iteration of the MTFS. </w:t>
      </w:r>
    </w:p>
    <w:p w14:paraId="575AA3D1" w14:textId="77777777" w:rsidR="00A70380" w:rsidRPr="00882976" w:rsidRDefault="00A70380" w:rsidP="00A70380">
      <w:pPr>
        <w:pStyle w:val="ListParagraph"/>
        <w:rPr>
          <w:rFonts w:cs="Arial"/>
        </w:rPr>
      </w:pPr>
    </w:p>
    <w:p w14:paraId="7CB882C9" w14:textId="2E5A0EBB" w:rsidR="00346865" w:rsidRPr="009C3A54" w:rsidRDefault="00A70380" w:rsidP="00346865">
      <w:pPr>
        <w:pStyle w:val="ListParagraph"/>
        <w:numPr>
          <w:ilvl w:val="0"/>
          <w:numId w:val="27"/>
        </w:numPr>
        <w:autoSpaceDE/>
        <w:autoSpaceDN/>
        <w:adjustRightInd/>
        <w:spacing w:after="0"/>
        <w:rPr>
          <w:rFonts w:cs="Arial"/>
        </w:rPr>
      </w:pPr>
      <w:r w:rsidRPr="00882976">
        <w:rPr>
          <w:rFonts w:cs="Arial"/>
        </w:rPr>
        <w:t xml:space="preserve">Other smaller areas of price inflation include transport costs, concessionary travel, highways, winter maintenance, energy and legal fees. </w:t>
      </w:r>
    </w:p>
    <w:p w14:paraId="3F56F9FB" w14:textId="77777777" w:rsidR="008759F7" w:rsidRPr="00882976" w:rsidRDefault="008759F7" w:rsidP="00F53647">
      <w:pPr>
        <w:autoSpaceDE/>
        <w:autoSpaceDN/>
        <w:adjustRightInd/>
        <w:spacing w:after="0"/>
        <w:jc w:val="left"/>
        <w:rPr>
          <w:rFonts w:cs="Arial"/>
          <w:b/>
          <w:highlight w:val="yellow"/>
        </w:rPr>
      </w:pPr>
    </w:p>
    <w:p w14:paraId="1DB3F9C3" w14:textId="00F9EC4D" w:rsidR="00F53647" w:rsidRPr="00882976" w:rsidRDefault="005A1497" w:rsidP="00F53647">
      <w:pPr>
        <w:tabs>
          <w:tab w:val="left" w:pos="567"/>
          <w:tab w:val="left" w:pos="1134"/>
        </w:tabs>
        <w:spacing w:after="0"/>
        <w:rPr>
          <w:rFonts w:cs="Arial"/>
          <w:b/>
        </w:rPr>
      </w:pPr>
      <w:r w:rsidRPr="00882976">
        <w:rPr>
          <w:rFonts w:cs="Arial"/>
          <w:b/>
        </w:rPr>
        <w:t>3.3</w:t>
      </w:r>
      <w:r w:rsidR="00F53647" w:rsidRPr="00882976">
        <w:rPr>
          <w:rFonts w:cs="Arial"/>
          <w:b/>
        </w:rPr>
        <w:tab/>
        <w:t>Demand Pressures</w:t>
      </w:r>
    </w:p>
    <w:p w14:paraId="1C817C98" w14:textId="77777777" w:rsidR="00F53647" w:rsidRPr="00882976" w:rsidRDefault="00F53647" w:rsidP="00F53647">
      <w:pPr>
        <w:tabs>
          <w:tab w:val="left" w:pos="567"/>
          <w:tab w:val="left" w:pos="1134"/>
        </w:tabs>
        <w:spacing w:after="0"/>
        <w:rPr>
          <w:rFonts w:cs="Arial"/>
          <w:b/>
        </w:rPr>
      </w:pPr>
    </w:p>
    <w:p w14:paraId="2E958306" w14:textId="77777777" w:rsidR="00F53647" w:rsidRPr="00882976" w:rsidRDefault="00F53647" w:rsidP="00F53647">
      <w:pPr>
        <w:tabs>
          <w:tab w:val="left" w:pos="567"/>
          <w:tab w:val="left" w:pos="1134"/>
        </w:tabs>
        <w:spacing w:after="0"/>
        <w:rPr>
          <w:rFonts w:cs="Arial"/>
        </w:rPr>
      </w:pPr>
      <w:r w:rsidRPr="00882976">
        <w:rPr>
          <w:rFonts w:cs="Arial"/>
        </w:rPr>
        <w:t>All services have reviewed the demand pressures faced b</w:t>
      </w:r>
      <w:r w:rsidR="00935FA0" w:rsidRPr="00882976">
        <w:rPr>
          <w:rFonts w:cs="Arial"/>
        </w:rPr>
        <w:t xml:space="preserve">y the </w:t>
      </w:r>
      <w:r w:rsidR="000A4469" w:rsidRPr="00882976">
        <w:rPr>
          <w:rFonts w:cs="Arial"/>
        </w:rPr>
        <w:t xml:space="preserve">County </w:t>
      </w:r>
      <w:r w:rsidR="00935FA0" w:rsidRPr="00882976">
        <w:rPr>
          <w:rFonts w:cs="Arial"/>
        </w:rPr>
        <w:t>C</w:t>
      </w:r>
      <w:r w:rsidRPr="00882976">
        <w:rPr>
          <w:rFonts w:cs="Arial"/>
        </w:rPr>
        <w:t>ouncil in future years. The impact of this review has been identified and is reflected in the revised MTFS and it can be seen that a significant proportion of the funding gap that has been identified is due to demand pressures.</w:t>
      </w:r>
    </w:p>
    <w:p w14:paraId="38D052AC" w14:textId="77777777" w:rsidR="00F53647" w:rsidRPr="00882976" w:rsidRDefault="00F53647" w:rsidP="00F53647">
      <w:pPr>
        <w:tabs>
          <w:tab w:val="left" w:pos="567"/>
          <w:tab w:val="left" w:pos="1134"/>
        </w:tabs>
        <w:spacing w:after="0"/>
        <w:rPr>
          <w:rFonts w:cs="Arial"/>
          <w:highlight w:val="yellow"/>
        </w:rPr>
      </w:pPr>
    </w:p>
    <w:p w14:paraId="2B0073FE" w14:textId="25396C56" w:rsidR="00F53647" w:rsidRPr="00882976" w:rsidRDefault="00F53647" w:rsidP="00F53647">
      <w:pPr>
        <w:tabs>
          <w:tab w:val="left" w:pos="567"/>
          <w:tab w:val="left" w:pos="1134"/>
        </w:tabs>
        <w:spacing w:after="0"/>
        <w:rPr>
          <w:rFonts w:cs="Arial"/>
        </w:rPr>
      </w:pPr>
      <w:r w:rsidRPr="00882976">
        <w:rPr>
          <w:rFonts w:cs="Arial"/>
        </w:rPr>
        <w:t>In total it is estimated that the demand pressures are</w:t>
      </w:r>
      <w:r w:rsidR="0000699F" w:rsidRPr="00882976">
        <w:rPr>
          <w:rFonts w:cs="Arial"/>
        </w:rPr>
        <w:t xml:space="preserve"> </w:t>
      </w:r>
      <w:r w:rsidR="00F10592" w:rsidRPr="00882976">
        <w:rPr>
          <w:rFonts w:cs="Arial"/>
        </w:rPr>
        <w:t>now £</w:t>
      </w:r>
      <w:r w:rsidR="00365D28">
        <w:rPr>
          <w:rFonts w:cs="Arial"/>
        </w:rPr>
        <w:t>9</w:t>
      </w:r>
      <w:r w:rsidR="00A30271">
        <w:rPr>
          <w:rFonts w:cs="Arial"/>
        </w:rPr>
        <w:t>1.005</w:t>
      </w:r>
      <w:r w:rsidR="002474E4" w:rsidRPr="00882976">
        <w:rPr>
          <w:rFonts w:cs="Arial"/>
        </w:rPr>
        <w:t>m</w:t>
      </w:r>
      <w:r w:rsidRPr="00882976">
        <w:rPr>
          <w:rFonts w:cs="Arial"/>
        </w:rPr>
        <w:t xml:space="preserve">. This is </w:t>
      </w:r>
      <w:r w:rsidR="00A30271">
        <w:rPr>
          <w:rFonts w:cs="Arial"/>
        </w:rPr>
        <w:t>a decrease</w:t>
      </w:r>
      <w:r w:rsidR="00F10592" w:rsidRPr="00882976">
        <w:rPr>
          <w:rFonts w:cs="Arial"/>
        </w:rPr>
        <w:t xml:space="preserve"> of £</w:t>
      </w:r>
      <w:r w:rsidR="00A30271">
        <w:rPr>
          <w:rFonts w:cs="Arial"/>
        </w:rPr>
        <w:t>1.251</w:t>
      </w:r>
      <w:r w:rsidR="00AB0EBD" w:rsidRPr="00882976">
        <w:rPr>
          <w:rFonts w:cs="Arial"/>
        </w:rPr>
        <w:t xml:space="preserve">m </w:t>
      </w:r>
      <w:r w:rsidR="00F10592" w:rsidRPr="00882976">
        <w:rPr>
          <w:rFonts w:cs="Arial"/>
        </w:rPr>
        <w:t>from the previous MTFS over this time period</w:t>
      </w:r>
      <w:r w:rsidRPr="00882976">
        <w:rPr>
          <w:rFonts w:cs="Arial"/>
        </w:rPr>
        <w:t>.</w:t>
      </w:r>
    </w:p>
    <w:p w14:paraId="0B2A73ED" w14:textId="77777777" w:rsidR="00AC67F1" w:rsidRPr="00882976" w:rsidRDefault="00AC67F1" w:rsidP="00F53647">
      <w:pPr>
        <w:tabs>
          <w:tab w:val="left" w:pos="567"/>
          <w:tab w:val="left" w:pos="1134"/>
        </w:tabs>
        <w:spacing w:after="0"/>
        <w:rPr>
          <w:rFonts w:cs="Arial"/>
          <w:highlight w:val="yellow"/>
        </w:rPr>
      </w:pPr>
    </w:p>
    <w:p w14:paraId="76AE107A" w14:textId="77777777" w:rsidR="00AC67F1" w:rsidRPr="00882976" w:rsidRDefault="00AC67F1" w:rsidP="00F53647">
      <w:pPr>
        <w:tabs>
          <w:tab w:val="left" w:pos="567"/>
          <w:tab w:val="left" w:pos="1134"/>
        </w:tabs>
        <w:spacing w:after="0"/>
        <w:rPr>
          <w:rFonts w:cs="Arial"/>
          <w:highlight w:val="yellow"/>
        </w:rPr>
      </w:pPr>
    </w:p>
    <w:tbl>
      <w:tblPr>
        <w:tblStyle w:val="TableGrid"/>
        <w:tblW w:w="8359" w:type="dxa"/>
        <w:jc w:val="center"/>
        <w:tblLook w:val="04A0" w:firstRow="1" w:lastRow="0" w:firstColumn="1" w:lastColumn="0" w:noHBand="0" w:noVBand="1"/>
      </w:tblPr>
      <w:tblGrid>
        <w:gridCol w:w="2878"/>
        <w:gridCol w:w="1084"/>
        <w:gridCol w:w="1084"/>
        <w:gridCol w:w="1084"/>
        <w:gridCol w:w="1084"/>
        <w:gridCol w:w="1145"/>
      </w:tblGrid>
      <w:tr w:rsidR="00AC67F1" w:rsidRPr="00882976" w14:paraId="1D3B6ACB" w14:textId="77777777" w:rsidTr="00AB0EBD">
        <w:trPr>
          <w:trHeight w:val="684"/>
          <w:jc w:val="center"/>
        </w:trPr>
        <w:tc>
          <w:tcPr>
            <w:tcW w:w="0" w:type="auto"/>
            <w:shd w:val="clear" w:color="auto" w:fill="BFBFBF" w:themeFill="background1" w:themeFillShade="BF"/>
          </w:tcPr>
          <w:p w14:paraId="3BCDD13C" w14:textId="77777777" w:rsidR="00AC67F1" w:rsidRPr="00882976" w:rsidRDefault="00AC67F1" w:rsidP="00AC67F1">
            <w:pPr>
              <w:tabs>
                <w:tab w:val="left" w:pos="567"/>
                <w:tab w:val="left" w:pos="1134"/>
              </w:tabs>
              <w:spacing w:after="0"/>
              <w:rPr>
                <w:rFonts w:cs="Arial"/>
              </w:rPr>
            </w:pPr>
          </w:p>
        </w:tc>
        <w:tc>
          <w:tcPr>
            <w:tcW w:w="0" w:type="auto"/>
            <w:shd w:val="clear" w:color="auto" w:fill="BFBFBF" w:themeFill="background1" w:themeFillShade="BF"/>
            <w:vAlign w:val="center"/>
          </w:tcPr>
          <w:p w14:paraId="61E0CCCD" w14:textId="77777777" w:rsidR="00AC67F1" w:rsidRPr="00882976" w:rsidRDefault="00AC67F1" w:rsidP="00AC67F1">
            <w:pPr>
              <w:tabs>
                <w:tab w:val="left" w:pos="567"/>
                <w:tab w:val="left" w:pos="1134"/>
              </w:tabs>
              <w:spacing w:after="0"/>
              <w:jc w:val="center"/>
              <w:rPr>
                <w:rFonts w:cs="Arial"/>
                <w:b/>
              </w:rPr>
            </w:pPr>
            <w:r w:rsidRPr="00882976">
              <w:rPr>
                <w:rFonts w:cs="Arial"/>
                <w:b/>
              </w:rPr>
              <w:t>2017/18</w:t>
            </w:r>
          </w:p>
          <w:p w14:paraId="081DC4CB"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9135DEF" w14:textId="77777777" w:rsidR="00AC67F1" w:rsidRPr="00882976" w:rsidRDefault="00AC67F1" w:rsidP="00AC67F1">
            <w:pPr>
              <w:tabs>
                <w:tab w:val="left" w:pos="567"/>
                <w:tab w:val="left" w:pos="1134"/>
              </w:tabs>
              <w:spacing w:after="0"/>
              <w:jc w:val="center"/>
              <w:rPr>
                <w:rFonts w:cs="Arial"/>
                <w:b/>
              </w:rPr>
            </w:pPr>
            <w:r w:rsidRPr="00882976">
              <w:rPr>
                <w:rFonts w:cs="Arial"/>
                <w:b/>
              </w:rPr>
              <w:t>2018/19</w:t>
            </w:r>
          </w:p>
          <w:p w14:paraId="770790E2"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84E2010" w14:textId="77777777" w:rsidR="00AC67F1" w:rsidRPr="00882976" w:rsidRDefault="00AC67F1" w:rsidP="00AC67F1">
            <w:pPr>
              <w:tabs>
                <w:tab w:val="left" w:pos="567"/>
                <w:tab w:val="left" w:pos="1134"/>
              </w:tabs>
              <w:spacing w:after="0"/>
              <w:jc w:val="center"/>
              <w:rPr>
                <w:rFonts w:cs="Arial"/>
                <w:b/>
              </w:rPr>
            </w:pPr>
            <w:r w:rsidRPr="00882976">
              <w:rPr>
                <w:rFonts w:cs="Arial"/>
                <w:b/>
              </w:rPr>
              <w:t>2019/20</w:t>
            </w:r>
          </w:p>
          <w:p w14:paraId="683110A7"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3D58C6D6" w14:textId="77777777" w:rsidR="00AC67F1" w:rsidRPr="00882976" w:rsidRDefault="00AC67F1" w:rsidP="00AC67F1">
            <w:pPr>
              <w:tabs>
                <w:tab w:val="left" w:pos="567"/>
                <w:tab w:val="left" w:pos="1134"/>
              </w:tabs>
              <w:spacing w:after="0"/>
              <w:jc w:val="center"/>
              <w:rPr>
                <w:rFonts w:cs="Arial"/>
                <w:b/>
              </w:rPr>
            </w:pPr>
            <w:r w:rsidRPr="00882976">
              <w:rPr>
                <w:rFonts w:cs="Arial"/>
                <w:b/>
              </w:rPr>
              <w:t>2020/21</w:t>
            </w:r>
          </w:p>
          <w:p w14:paraId="11D0D65D"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1145" w:type="dxa"/>
            <w:shd w:val="clear" w:color="auto" w:fill="BFBFBF" w:themeFill="background1" w:themeFillShade="BF"/>
            <w:vAlign w:val="center"/>
          </w:tcPr>
          <w:p w14:paraId="13BC605D" w14:textId="77777777" w:rsidR="00AC67F1" w:rsidRPr="00882976" w:rsidRDefault="00AC67F1" w:rsidP="00AC67F1">
            <w:pPr>
              <w:tabs>
                <w:tab w:val="left" w:pos="567"/>
                <w:tab w:val="left" w:pos="1134"/>
              </w:tabs>
              <w:spacing w:after="0"/>
              <w:jc w:val="center"/>
              <w:rPr>
                <w:rFonts w:cs="Arial"/>
                <w:b/>
              </w:rPr>
            </w:pPr>
            <w:r w:rsidRPr="00882976">
              <w:rPr>
                <w:rFonts w:cs="Arial"/>
                <w:b/>
              </w:rPr>
              <w:t>Total</w:t>
            </w:r>
          </w:p>
          <w:p w14:paraId="3CC99A90"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r>
      <w:tr w:rsidR="00365D28" w:rsidRPr="00882976" w14:paraId="07AD04C4" w14:textId="77777777" w:rsidTr="00AB0EBD">
        <w:trPr>
          <w:trHeight w:val="684"/>
          <w:jc w:val="center"/>
        </w:trPr>
        <w:tc>
          <w:tcPr>
            <w:tcW w:w="0" w:type="auto"/>
            <w:vAlign w:val="center"/>
          </w:tcPr>
          <w:p w14:paraId="0B7CB77B" w14:textId="27694BA8" w:rsidR="00365D28" w:rsidRPr="00882976" w:rsidRDefault="00365D28" w:rsidP="00365D28">
            <w:pPr>
              <w:tabs>
                <w:tab w:val="left" w:pos="567"/>
                <w:tab w:val="left" w:pos="1134"/>
              </w:tabs>
              <w:spacing w:after="0"/>
              <w:jc w:val="left"/>
              <w:rPr>
                <w:rFonts w:cs="Arial"/>
              </w:rPr>
            </w:pPr>
            <w:r w:rsidRPr="00882976">
              <w:rPr>
                <w:rFonts w:cs="Arial"/>
                <w:b/>
              </w:rPr>
              <w:t>Demand – previous MTFS</w:t>
            </w:r>
          </w:p>
        </w:tc>
        <w:tc>
          <w:tcPr>
            <w:tcW w:w="0" w:type="auto"/>
            <w:vAlign w:val="center"/>
          </w:tcPr>
          <w:p w14:paraId="4A9792F8" w14:textId="4A658689" w:rsidR="00365D28" w:rsidRPr="00882976" w:rsidRDefault="000D541D" w:rsidP="00365D28">
            <w:pPr>
              <w:tabs>
                <w:tab w:val="left" w:pos="567"/>
                <w:tab w:val="left" w:pos="1134"/>
              </w:tabs>
              <w:spacing w:after="0"/>
              <w:jc w:val="center"/>
              <w:rPr>
                <w:rFonts w:cs="Arial"/>
              </w:rPr>
            </w:pPr>
            <w:r>
              <w:rPr>
                <w:rFonts w:cs="Arial"/>
              </w:rPr>
              <w:t>37.883</w:t>
            </w:r>
          </w:p>
        </w:tc>
        <w:tc>
          <w:tcPr>
            <w:tcW w:w="0" w:type="auto"/>
            <w:vAlign w:val="center"/>
          </w:tcPr>
          <w:p w14:paraId="33EE1128" w14:textId="1021CFE3" w:rsidR="00365D28" w:rsidRPr="00882976" w:rsidRDefault="00365D28" w:rsidP="00365D28">
            <w:pPr>
              <w:tabs>
                <w:tab w:val="left" w:pos="567"/>
                <w:tab w:val="left" w:pos="1134"/>
              </w:tabs>
              <w:spacing w:after="0"/>
              <w:jc w:val="center"/>
              <w:rPr>
                <w:rFonts w:cs="Arial"/>
              </w:rPr>
            </w:pPr>
            <w:r w:rsidRPr="00882976">
              <w:rPr>
                <w:rFonts w:cs="Arial"/>
              </w:rPr>
              <w:t>15.180</w:t>
            </w:r>
          </w:p>
        </w:tc>
        <w:tc>
          <w:tcPr>
            <w:tcW w:w="0" w:type="auto"/>
            <w:vAlign w:val="center"/>
          </w:tcPr>
          <w:p w14:paraId="4F14F5EF" w14:textId="7B89CA08" w:rsidR="00365D28" w:rsidRPr="00882976" w:rsidRDefault="00365D28" w:rsidP="00365D28">
            <w:pPr>
              <w:tabs>
                <w:tab w:val="left" w:pos="567"/>
                <w:tab w:val="left" w:pos="1134"/>
              </w:tabs>
              <w:spacing w:after="0"/>
              <w:jc w:val="center"/>
              <w:rPr>
                <w:rFonts w:cs="Arial"/>
              </w:rPr>
            </w:pPr>
            <w:r w:rsidRPr="00882976">
              <w:rPr>
                <w:rFonts w:cs="Arial"/>
              </w:rPr>
              <w:t>18.068</w:t>
            </w:r>
          </w:p>
        </w:tc>
        <w:tc>
          <w:tcPr>
            <w:tcW w:w="0" w:type="auto"/>
            <w:vAlign w:val="center"/>
          </w:tcPr>
          <w:p w14:paraId="722BB9D2" w14:textId="7B9893D8" w:rsidR="00365D28" w:rsidRPr="00882976" w:rsidRDefault="00365D28" w:rsidP="00365D28">
            <w:pPr>
              <w:tabs>
                <w:tab w:val="left" w:pos="567"/>
                <w:tab w:val="left" w:pos="1134"/>
              </w:tabs>
              <w:spacing w:after="0"/>
              <w:jc w:val="center"/>
              <w:rPr>
                <w:rFonts w:cs="Arial"/>
              </w:rPr>
            </w:pPr>
            <w:r w:rsidRPr="00882976">
              <w:rPr>
                <w:rFonts w:cs="Arial"/>
              </w:rPr>
              <w:t>21.126</w:t>
            </w:r>
          </w:p>
        </w:tc>
        <w:tc>
          <w:tcPr>
            <w:tcW w:w="1145" w:type="dxa"/>
            <w:vAlign w:val="center"/>
          </w:tcPr>
          <w:p w14:paraId="1284B1FD" w14:textId="42FDFD74" w:rsidR="00365D28" w:rsidRPr="00882976" w:rsidRDefault="000D541D" w:rsidP="00365D28">
            <w:pPr>
              <w:tabs>
                <w:tab w:val="left" w:pos="567"/>
                <w:tab w:val="left" w:pos="1134"/>
              </w:tabs>
              <w:spacing w:after="0"/>
              <w:jc w:val="center"/>
              <w:rPr>
                <w:rFonts w:cs="Arial"/>
                <w:b/>
              </w:rPr>
            </w:pPr>
            <w:r>
              <w:rPr>
                <w:rFonts w:cs="Arial"/>
                <w:b/>
              </w:rPr>
              <w:t>92.257</w:t>
            </w:r>
          </w:p>
        </w:tc>
      </w:tr>
      <w:tr w:rsidR="00365D28" w:rsidRPr="00882976" w14:paraId="07C82381" w14:textId="77777777" w:rsidTr="00AB0EBD">
        <w:trPr>
          <w:trHeight w:val="401"/>
          <w:jc w:val="center"/>
        </w:trPr>
        <w:tc>
          <w:tcPr>
            <w:tcW w:w="0" w:type="auto"/>
            <w:vAlign w:val="center"/>
          </w:tcPr>
          <w:p w14:paraId="139C7C1E" w14:textId="77777777" w:rsidR="00365D28" w:rsidRPr="00882976" w:rsidRDefault="00365D28" w:rsidP="00365D28">
            <w:pPr>
              <w:tabs>
                <w:tab w:val="left" w:pos="567"/>
                <w:tab w:val="left" w:pos="1134"/>
              </w:tabs>
              <w:spacing w:after="0"/>
              <w:jc w:val="left"/>
              <w:rPr>
                <w:rFonts w:cs="Arial"/>
              </w:rPr>
            </w:pPr>
          </w:p>
        </w:tc>
        <w:tc>
          <w:tcPr>
            <w:tcW w:w="0" w:type="auto"/>
            <w:vAlign w:val="center"/>
          </w:tcPr>
          <w:p w14:paraId="7552451D" w14:textId="77777777" w:rsidR="00365D28" w:rsidRPr="00882976" w:rsidRDefault="00365D28" w:rsidP="00365D28">
            <w:pPr>
              <w:tabs>
                <w:tab w:val="left" w:pos="567"/>
                <w:tab w:val="left" w:pos="1134"/>
              </w:tabs>
              <w:spacing w:after="0"/>
              <w:jc w:val="center"/>
              <w:rPr>
                <w:rFonts w:cs="Arial"/>
              </w:rPr>
            </w:pPr>
          </w:p>
        </w:tc>
        <w:tc>
          <w:tcPr>
            <w:tcW w:w="0" w:type="auto"/>
            <w:vAlign w:val="center"/>
          </w:tcPr>
          <w:p w14:paraId="70326EE8" w14:textId="77777777" w:rsidR="00365D28" w:rsidRPr="00882976" w:rsidRDefault="00365D28" w:rsidP="00365D28">
            <w:pPr>
              <w:tabs>
                <w:tab w:val="left" w:pos="567"/>
                <w:tab w:val="left" w:pos="1134"/>
              </w:tabs>
              <w:spacing w:after="0"/>
              <w:jc w:val="center"/>
              <w:rPr>
                <w:rFonts w:cs="Arial"/>
              </w:rPr>
            </w:pPr>
          </w:p>
        </w:tc>
        <w:tc>
          <w:tcPr>
            <w:tcW w:w="0" w:type="auto"/>
            <w:vAlign w:val="center"/>
          </w:tcPr>
          <w:p w14:paraId="59D5A068" w14:textId="77777777" w:rsidR="00365D28" w:rsidRPr="00882976" w:rsidRDefault="00365D28" w:rsidP="00365D28">
            <w:pPr>
              <w:tabs>
                <w:tab w:val="left" w:pos="567"/>
                <w:tab w:val="left" w:pos="1134"/>
              </w:tabs>
              <w:spacing w:after="0"/>
              <w:jc w:val="center"/>
              <w:rPr>
                <w:rFonts w:cs="Arial"/>
              </w:rPr>
            </w:pPr>
          </w:p>
        </w:tc>
        <w:tc>
          <w:tcPr>
            <w:tcW w:w="0" w:type="auto"/>
            <w:vAlign w:val="center"/>
          </w:tcPr>
          <w:p w14:paraId="7377A5CC" w14:textId="77777777" w:rsidR="00365D28" w:rsidRPr="00882976" w:rsidRDefault="00365D28" w:rsidP="00365D28">
            <w:pPr>
              <w:tabs>
                <w:tab w:val="left" w:pos="567"/>
                <w:tab w:val="left" w:pos="1134"/>
              </w:tabs>
              <w:spacing w:after="0"/>
              <w:jc w:val="center"/>
              <w:rPr>
                <w:rFonts w:cs="Arial"/>
              </w:rPr>
            </w:pPr>
          </w:p>
        </w:tc>
        <w:tc>
          <w:tcPr>
            <w:tcW w:w="1145" w:type="dxa"/>
            <w:vAlign w:val="center"/>
          </w:tcPr>
          <w:p w14:paraId="50207227" w14:textId="77777777" w:rsidR="00365D28" w:rsidRPr="00882976" w:rsidRDefault="00365D28" w:rsidP="00365D28">
            <w:pPr>
              <w:tabs>
                <w:tab w:val="left" w:pos="567"/>
                <w:tab w:val="left" w:pos="1134"/>
              </w:tabs>
              <w:spacing w:after="0"/>
              <w:jc w:val="center"/>
              <w:rPr>
                <w:rFonts w:cs="Arial"/>
                <w:b/>
              </w:rPr>
            </w:pPr>
          </w:p>
        </w:tc>
      </w:tr>
      <w:tr w:rsidR="00365D28" w:rsidRPr="00882976" w14:paraId="631EA3E1" w14:textId="77777777" w:rsidTr="00AB0EBD">
        <w:trPr>
          <w:trHeight w:val="684"/>
          <w:jc w:val="center"/>
        </w:trPr>
        <w:tc>
          <w:tcPr>
            <w:tcW w:w="0" w:type="auto"/>
            <w:vAlign w:val="center"/>
          </w:tcPr>
          <w:p w14:paraId="2406BD78" w14:textId="3E4CF31D" w:rsidR="00365D28" w:rsidRPr="00882976" w:rsidRDefault="00365D28" w:rsidP="00365D28">
            <w:pPr>
              <w:tabs>
                <w:tab w:val="left" w:pos="567"/>
                <w:tab w:val="left" w:pos="1134"/>
              </w:tabs>
              <w:spacing w:after="0"/>
              <w:jc w:val="left"/>
              <w:rPr>
                <w:rFonts w:cs="Arial"/>
              </w:rPr>
            </w:pPr>
            <w:r w:rsidRPr="00882976">
              <w:rPr>
                <w:rFonts w:cs="Arial"/>
              </w:rPr>
              <w:t>Revised Demand Requirements</w:t>
            </w:r>
          </w:p>
        </w:tc>
        <w:tc>
          <w:tcPr>
            <w:tcW w:w="0" w:type="auto"/>
            <w:vAlign w:val="center"/>
          </w:tcPr>
          <w:p w14:paraId="319F6183" w14:textId="6D0E852E" w:rsidR="00365D28" w:rsidRPr="00882976" w:rsidRDefault="00A30271" w:rsidP="00365D28">
            <w:pPr>
              <w:tabs>
                <w:tab w:val="left" w:pos="567"/>
                <w:tab w:val="left" w:pos="1134"/>
              </w:tabs>
              <w:spacing w:after="0"/>
              <w:jc w:val="center"/>
              <w:rPr>
                <w:rFonts w:cs="Arial"/>
              </w:rPr>
            </w:pPr>
            <w:r>
              <w:rPr>
                <w:rFonts w:cs="Arial"/>
              </w:rPr>
              <w:t>37.277</w:t>
            </w:r>
          </w:p>
        </w:tc>
        <w:tc>
          <w:tcPr>
            <w:tcW w:w="0" w:type="auto"/>
            <w:vAlign w:val="center"/>
          </w:tcPr>
          <w:p w14:paraId="4A6CABEA" w14:textId="763E41C1" w:rsidR="00365D28" w:rsidRPr="00882976" w:rsidRDefault="00A30271" w:rsidP="00365D28">
            <w:pPr>
              <w:tabs>
                <w:tab w:val="left" w:pos="567"/>
                <w:tab w:val="left" w:pos="1134"/>
              </w:tabs>
              <w:spacing w:after="0"/>
              <w:jc w:val="center"/>
              <w:rPr>
                <w:rFonts w:cs="Arial"/>
              </w:rPr>
            </w:pPr>
            <w:r>
              <w:rPr>
                <w:rFonts w:cs="Arial"/>
              </w:rPr>
              <w:t>14.644</w:t>
            </w:r>
          </w:p>
        </w:tc>
        <w:tc>
          <w:tcPr>
            <w:tcW w:w="0" w:type="auto"/>
            <w:vAlign w:val="center"/>
          </w:tcPr>
          <w:p w14:paraId="460C1B3B" w14:textId="7EC0D42A" w:rsidR="00365D28" w:rsidRPr="00882976" w:rsidRDefault="00A30271" w:rsidP="00365D28">
            <w:pPr>
              <w:tabs>
                <w:tab w:val="left" w:pos="567"/>
                <w:tab w:val="left" w:pos="1134"/>
              </w:tabs>
              <w:spacing w:after="0"/>
              <w:jc w:val="center"/>
              <w:rPr>
                <w:rFonts w:cs="Arial"/>
              </w:rPr>
            </w:pPr>
            <w:r>
              <w:rPr>
                <w:rFonts w:cs="Arial"/>
              </w:rPr>
              <w:t>17.928</w:t>
            </w:r>
          </w:p>
        </w:tc>
        <w:tc>
          <w:tcPr>
            <w:tcW w:w="0" w:type="auto"/>
            <w:vAlign w:val="center"/>
          </w:tcPr>
          <w:p w14:paraId="597D7D80" w14:textId="5DEABFA4" w:rsidR="00365D28" w:rsidRPr="00882976" w:rsidRDefault="00A30271" w:rsidP="00365D28">
            <w:pPr>
              <w:tabs>
                <w:tab w:val="left" w:pos="567"/>
                <w:tab w:val="left" w:pos="1134"/>
              </w:tabs>
              <w:spacing w:after="0"/>
              <w:jc w:val="center"/>
              <w:rPr>
                <w:rFonts w:cs="Arial"/>
              </w:rPr>
            </w:pPr>
            <w:r>
              <w:rPr>
                <w:rFonts w:cs="Arial"/>
              </w:rPr>
              <w:t>21.156</w:t>
            </w:r>
          </w:p>
        </w:tc>
        <w:tc>
          <w:tcPr>
            <w:tcW w:w="1145" w:type="dxa"/>
            <w:vAlign w:val="center"/>
          </w:tcPr>
          <w:p w14:paraId="3E4473E3" w14:textId="173E5C1E" w:rsidR="00365D28" w:rsidRPr="00882976" w:rsidRDefault="00A30271" w:rsidP="00365D28">
            <w:pPr>
              <w:tabs>
                <w:tab w:val="left" w:pos="567"/>
                <w:tab w:val="left" w:pos="1134"/>
              </w:tabs>
              <w:spacing w:after="0"/>
              <w:jc w:val="center"/>
              <w:rPr>
                <w:rFonts w:cs="Arial"/>
                <w:b/>
              </w:rPr>
            </w:pPr>
            <w:r>
              <w:rPr>
                <w:rFonts w:cs="Arial"/>
                <w:b/>
              </w:rPr>
              <w:t>91.005</w:t>
            </w:r>
          </w:p>
        </w:tc>
      </w:tr>
      <w:tr w:rsidR="00365D28" w:rsidRPr="00882976" w14:paraId="0699498C" w14:textId="77777777" w:rsidTr="00AB0EBD">
        <w:trPr>
          <w:trHeight w:val="431"/>
          <w:jc w:val="center"/>
        </w:trPr>
        <w:tc>
          <w:tcPr>
            <w:tcW w:w="0" w:type="auto"/>
            <w:vAlign w:val="center"/>
          </w:tcPr>
          <w:p w14:paraId="2981D577" w14:textId="77777777" w:rsidR="00365D28" w:rsidRPr="00882976" w:rsidRDefault="00365D28" w:rsidP="00365D28">
            <w:pPr>
              <w:tabs>
                <w:tab w:val="left" w:pos="567"/>
                <w:tab w:val="left" w:pos="1134"/>
              </w:tabs>
              <w:spacing w:after="0"/>
              <w:jc w:val="left"/>
              <w:rPr>
                <w:rFonts w:cs="Arial"/>
              </w:rPr>
            </w:pPr>
          </w:p>
        </w:tc>
        <w:tc>
          <w:tcPr>
            <w:tcW w:w="0" w:type="auto"/>
            <w:vAlign w:val="center"/>
          </w:tcPr>
          <w:p w14:paraId="74E71131" w14:textId="77777777" w:rsidR="00365D28" w:rsidRPr="00882976" w:rsidRDefault="00365D28" w:rsidP="00365D28">
            <w:pPr>
              <w:tabs>
                <w:tab w:val="left" w:pos="567"/>
                <w:tab w:val="left" w:pos="1134"/>
              </w:tabs>
              <w:spacing w:after="0"/>
              <w:jc w:val="center"/>
              <w:rPr>
                <w:rFonts w:cs="Arial"/>
              </w:rPr>
            </w:pPr>
          </w:p>
        </w:tc>
        <w:tc>
          <w:tcPr>
            <w:tcW w:w="0" w:type="auto"/>
            <w:vAlign w:val="center"/>
          </w:tcPr>
          <w:p w14:paraId="5F8B7245" w14:textId="77777777" w:rsidR="00365D28" w:rsidRPr="00882976" w:rsidRDefault="00365D28" w:rsidP="00365D28">
            <w:pPr>
              <w:tabs>
                <w:tab w:val="left" w:pos="567"/>
                <w:tab w:val="left" w:pos="1134"/>
              </w:tabs>
              <w:spacing w:after="0"/>
              <w:jc w:val="center"/>
              <w:rPr>
                <w:rFonts w:cs="Arial"/>
              </w:rPr>
            </w:pPr>
          </w:p>
        </w:tc>
        <w:tc>
          <w:tcPr>
            <w:tcW w:w="0" w:type="auto"/>
            <w:vAlign w:val="center"/>
          </w:tcPr>
          <w:p w14:paraId="03ABA972" w14:textId="77777777" w:rsidR="00365D28" w:rsidRPr="00882976" w:rsidRDefault="00365D28" w:rsidP="00365D28">
            <w:pPr>
              <w:tabs>
                <w:tab w:val="left" w:pos="567"/>
                <w:tab w:val="left" w:pos="1134"/>
              </w:tabs>
              <w:spacing w:after="0"/>
              <w:jc w:val="center"/>
              <w:rPr>
                <w:rFonts w:cs="Arial"/>
              </w:rPr>
            </w:pPr>
          </w:p>
        </w:tc>
        <w:tc>
          <w:tcPr>
            <w:tcW w:w="0" w:type="auto"/>
            <w:vAlign w:val="center"/>
          </w:tcPr>
          <w:p w14:paraId="6B902EDD" w14:textId="77777777" w:rsidR="00365D28" w:rsidRPr="00882976" w:rsidRDefault="00365D28" w:rsidP="00365D28">
            <w:pPr>
              <w:tabs>
                <w:tab w:val="left" w:pos="567"/>
                <w:tab w:val="left" w:pos="1134"/>
              </w:tabs>
              <w:spacing w:after="0"/>
              <w:jc w:val="center"/>
              <w:rPr>
                <w:rFonts w:cs="Arial"/>
              </w:rPr>
            </w:pPr>
          </w:p>
        </w:tc>
        <w:tc>
          <w:tcPr>
            <w:tcW w:w="1145" w:type="dxa"/>
            <w:vAlign w:val="center"/>
          </w:tcPr>
          <w:p w14:paraId="1562B3D2" w14:textId="77777777" w:rsidR="00365D28" w:rsidRPr="00882976" w:rsidRDefault="00365D28" w:rsidP="00365D28">
            <w:pPr>
              <w:tabs>
                <w:tab w:val="left" w:pos="567"/>
                <w:tab w:val="left" w:pos="1134"/>
              </w:tabs>
              <w:spacing w:after="0"/>
              <w:jc w:val="center"/>
              <w:rPr>
                <w:rFonts w:cs="Arial"/>
                <w:b/>
              </w:rPr>
            </w:pPr>
          </w:p>
        </w:tc>
      </w:tr>
      <w:tr w:rsidR="00365D28" w:rsidRPr="00882976" w14:paraId="13C92C1C" w14:textId="77777777" w:rsidTr="00AB0EBD">
        <w:trPr>
          <w:trHeight w:val="684"/>
          <w:jc w:val="center"/>
        </w:trPr>
        <w:tc>
          <w:tcPr>
            <w:tcW w:w="0" w:type="auto"/>
            <w:vAlign w:val="center"/>
          </w:tcPr>
          <w:p w14:paraId="41A7338F" w14:textId="77777777" w:rsidR="00365D28" w:rsidRPr="00882976" w:rsidRDefault="00365D28" w:rsidP="00365D28">
            <w:pPr>
              <w:tabs>
                <w:tab w:val="left" w:pos="567"/>
                <w:tab w:val="left" w:pos="1134"/>
              </w:tabs>
              <w:spacing w:after="0"/>
              <w:jc w:val="left"/>
              <w:rPr>
                <w:rFonts w:cs="Arial"/>
                <w:b/>
              </w:rPr>
            </w:pPr>
            <w:r w:rsidRPr="00882976">
              <w:rPr>
                <w:rFonts w:cs="Arial"/>
                <w:b/>
              </w:rPr>
              <w:t>Impact on Financial Gap</w:t>
            </w:r>
          </w:p>
        </w:tc>
        <w:tc>
          <w:tcPr>
            <w:tcW w:w="0" w:type="auto"/>
            <w:vAlign w:val="center"/>
          </w:tcPr>
          <w:p w14:paraId="4671DB87" w14:textId="54A58604" w:rsidR="00365D28" w:rsidRPr="00882976" w:rsidRDefault="000D541D" w:rsidP="00365D28">
            <w:pPr>
              <w:tabs>
                <w:tab w:val="left" w:pos="567"/>
                <w:tab w:val="left" w:pos="1134"/>
              </w:tabs>
              <w:spacing w:after="0"/>
              <w:jc w:val="center"/>
              <w:rPr>
                <w:rFonts w:cs="Arial"/>
                <w:b/>
              </w:rPr>
            </w:pPr>
            <w:r>
              <w:rPr>
                <w:rFonts w:cs="Arial"/>
                <w:b/>
              </w:rPr>
              <w:t>-0.606</w:t>
            </w:r>
          </w:p>
        </w:tc>
        <w:tc>
          <w:tcPr>
            <w:tcW w:w="0" w:type="auto"/>
            <w:vAlign w:val="center"/>
          </w:tcPr>
          <w:p w14:paraId="18FF9712" w14:textId="4DBCA269" w:rsidR="00365D28" w:rsidRPr="00882976" w:rsidRDefault="00A30271" w:rsidP="00365D28">
            <w:pPr>
              <w:tabs>
                <w:tab w:val="left" w:pos="567"/>
                <w:tab w:val="left" w:pos="1134"/>
              </w:tabs>
              <w:spacing w:after="0"/>
              <w:jc w:val="center"/>
              <w:rPr>
                <w:rFonts w:cs="Arial"/>
                <w:b/>
              </w:rPr>
            </w:pPr>
            <w:r>
              <w:rPr>
                <w:rFonts w:cs="Arial"/>
                <w:b/>
              </w:rPr>
              <w:t>-0.536</w:t>
            </w:r>
          </w:p>
        </w:tc>
        <w:tc>
          <w:tcPr>
            <w:tcW w:w="0" w:type="auto"/>
            <w:vAlign w:val="center"/>
          </w:tcPr>
          <w:p w14:paraId="20535CE4" w14:textId="60140970" w:rsidR="00365D28" w:rsidRPr="00882976" w:rsidRDefault="00A30271" w:rsidP="00365D28">
            <w:pPr>
              <w:tabs>
                <w:tab w:val="left" w:pos="567"/>
                <w:tab w:val="left" w:pos="1134"/>
              </w:tabs>
              <w:spacing w:after="0"/>
              <w:jc w:val="center"/>
              <w:rPr>
                <w:rFonts w:cs="Arial"/>
                <w:b/>
              </w:rPr>
            </w:pPr>
            <w:r>
              <w:rPr>
                <w:rFonts w:cs="Arial"/>
                <w:b/>
              </w:rPr>
              <w:t>-0.140</w:t>
            </w:r>
          </w:p>
        </w:tc>
        <w:tc>
          <w:tcPr>
            <w:tcW w:w="0" w:type="auto"/>
            <w:vAlign w:val="center"/>
          </w:tcPr>
          <w:p w14:paraId="391F5804" w14:textId="4EBDDBC8" w:rsidR="00365D28" w:rsidRPr="00882976" w:rsidRDefault="00A30271" w:rsidP="00365D28">
            <w:pPr>
              <w:tabs>
                <w:tab w:val="left" w:pos="567"/>
                <w:tab w:val="left" w:pos="1134"/>
              </w:tabs>
              <w:spacing w:after="0"/>
              <w:jc w:val="center"/>
              <w:rPr>
                <w:rFonts w:cs="Arial"/>
                <w:b/>
              </w:rPr>
            </w:pPr>
            <w:r>
              <w:rPr>
                <w:rFonts w:cs="Arial"/>
                <w:b/>
              </w:rPr>
              <w:t>0.030</w:t>
            </w:r>
          </w:p>
        </w:tc>
        <w:tc>
          <w:tcPr>
            <w:tcW w:w="1145" w:type="dxa"/>
            <w:vAlign w:val="center"/>
          </w:tcPr>
          <w:p w14:paraId="02806C58" w14:textId="1221E9B9" w:rsidR="00365D28" w:rsidRPr="00882976" w:rsidRDefault="000D541D" w:rsidP="00365D28">
            <w:pPr>
              <w:tabs>
                <w:tab w:val="left" w:pos="567"/>
                <w:tab w:val="left" w:pos="1134"/>
              </w:tabs>
              <w:spacing w:after="0"/>
              <w:jc w:val="center"/>
              <w:rPr>
                <w:rFonts w:cs="Arial"/>
                <w:b/>
              </w:rPr>
            </w:pPr>
            <w:r>
              <w:rPr>
                <w:rFonts w:cs="Arial"/>
                <w:b/>
              </w:rPr>
              <w:t>-1.252</w:t>
            </w:r>
          </w:p>
        </w:tc>
      </w:tr>
    </w:tbl>
    <w:p w14:paraId="4B51672F" w14:textId="77777777" w:rsidR="00F53647" w:rsidRPr="00882976" w:rsidRDefault="00F53647" w:rsidP="00F53647">
      <w:pPr>
        <w:tabs>
          <w:tab w:val="left" w:pos="567"/>
          <w:tab w:val="left" w:pos="1134"/>
        </w:tabs>
        <w:spacing w:after="0"/>
        <w:rPr>
          <w:rFonts w:cs="Arial"/>
        </w:rPr>
      </w:pPr>
    </w:p>
    <w:p w14:paraId="0CF061E6" w14:textId="7BD9A026" w:rsidR="00F53647" w:rsidRPr="00882976" w:rsidRDefault="009A71EE" w:rsidP="000C0795">
      <w:pPr>
        <w:spacing w:after="0"/>
        <w:rPr>
          <w:rFonts w:cs="Arial"/>
        </w:rPr>
      </w:pPr>
      <w:r w:rsidRPr="00882976">
        <w:rPr>
          <w:rFonts w:cs="Arial"/>
        </w:rPr>
        <w:t>A</w:t>
      </w:r>
      <w:r w:rsidR="00F53647" w:rsidRPr="00882976">
        <w:rPr>
          <w:rFonts w:cs="Arial"/>
        </w:rPr>
        <w:t xml:space="preserve">dult </w:t>
      </w:r>
      <w:r w:rsidRPr="00882976">
        <w:rPr>
          <w:rFonts w:cs="Arial"/>
        </w:rPr>
        <w:t>S</w:t>
      </w:r>
      <w:r w:rsidR="00F53647" w:rsidRPr="00882976">
        <w:rPr>
          <w:rFonts w:cs="Arial"/>
        </w:rPr>
        <w:t xml:space="preserve">ocial </w:t>
      </w:r>
      <w:r w:rsidRPr="00882976">
        <w:rPr>
          <w:rFonts w:cs="Arial"/>
        </w:rPr>
        <w:t>C</w:t>
      </w:r>
      <w:r w:rsidR="00F53647" w:rsidRPr="00882976">
        <w:rPr>
          <w:rFonts w:cs="Arial"/>
        </w:rPr>
        <w:t xml:space="preserve">are represents </w:t>
      </w:r>
      <w:r w:rsidR="0000699F" w:rsidRPr="00882976">
        <w:rPr>
          <w:rFonts w:cs="Arial"/>
        </w:rPr>
        <w:t xml:space="preserve">a large proportion of </w:t>
      </w:r>
      <w:r w:rsidR="00F53647" w:rsidRPr="00882976">
        <w:rPr>
          <w:rFonts w:cs="Arial"/>
        </w:rPr>
        <w:t>the demand</w:t>
      </w:r>
      <w:r w:rsidR="00F53647" w:rsidRPr="00882976">
        <w:rPr>
          <w:rFonts w:cs="Arial"/>
          <w:b/>
        </w:rPr>
        <w:t xml:space="preserve"> </w:t>
      </w:r>
      <w:r w:rsidR="00F53647" w:rsidRPr="00882976">
        <w:rPr>
          <w:rFonts w:cs="Arial"/>
        </w:rPr>
        <w:t>pressures.</w:t>
      </w:r>
      <w:r w:rsidR="00F53647" w:rsidRPr="00882976">
        <w:rPr>
          <w:rFonts w:cs="Arial"/>
          <w:b/>
        </w:rPr>
        <w:t xml:space="preserve">  </w:t>
      </w:r>
      <w:r w:rsidR="00F53647" w:rsidRPr="00882976">
        <w:rPr>
          <w:rFonts w:cs="Arial"/>
        </w:rPr>
        <w:t xml:space="preserve">Adult </w:t>
      </w:r>
      <w:r w:rsidRPr="00882976">
        <w:rPr>
          <w:rFonts w:cs="Arial"/>
        </w:rPr>
        <w:t>S</w:t>
      </w:r>
      <w:r w:rsidR="00F53647" w:rsidRPr="00882976">
        <w:rPr>
          <w:rFonts w:cs="Arial"/>
        </w:rPr>
        <w:t xml:space="preserve">ocial </w:t>
      </w:r>
      <w:r w:rsidRPr="00882976">
        <w:rPr>
          <w:rFonts w:cs="Arial"/>
        </w:rPr>
        <w:t>C</w:t>
      </w:r>
      <w:r w:rsidR="00F53647" w:rsidRPr="00882976">
        <w:rPr>
          <w:rFonts w:cs="Arial"/>
        </w:rPr>
        <w:t xml:space="preserve">are has long seen annual increases in the demand for services and the MTFS attempts to predict growth in future years largely based on </w:t>
      </w:r>
      <w:r w:rsidR="001422F8" w:rsidRPr="00882976">
        <w:rPr>
          <w:rFonts w:cs="Arial"/>
        </w:rPr>
        <w:t xml:space="preserve">reviewing current and </w:t>
      </w:r>
      <w:r w:rsidR="00F53647" w:rsidRPr="00882976">
        <w:rPr>
          <w:rFonts w:cs="Arial"/>
        </w:rPr>
        <w:t>past activity trends but also taking into account future population changes.</w:t>
      </w:r>
      <w:r w:rsidR="009C3A54">
        <w:rPr>
          <w:rFonts w:cs="Arial"/>
        </w:rPr>
        <w:t xml:space="preserve"> From "a social care perspective" demand covers both increasing numbers of people eligible for </w:t>
      </w:r>
      <w:r w:rsidR="009C3A54">
        <w:rPr>
          <w:rFonts w:cs="Arial"/>
        </w:rPr>
        <w:lastRenderedPageBreak/>
        <w:t xml:space="preserve">support and the increasing complexity of those supported reflected in higher average costs per service user. </w:t>
      </w:r>
    </w:p>
    <w:p w14:paraId="7CE876A3" w14:textId="77777777" w:rsidR="00F53647" w:rsidRPr="00882976" w:rsidRDefault="00F53647" w:rsidP="000C0795">
      <w:pPr>
        <w:spacing w:after="0"/>
        <w:rPr>
          <w:rFonts w:cs="Arial"/>
          <w:highlight w:val="yellow"/>
        </w:rPr>
      </w:pPr>
    </w:p>
    <w:p w14:paraId="7D1C535B" w14:textId="77777777" w:rsidR="00F53647" w:rsidRPr="00882976" w:rsidRDefault="00F53647" w:rsidP="000C0795">
      <w:pPr>
        <w:rPr>
          <w:rFonts w:cs="Arial"/>
        </w:rPr>
      </w:pPr>
      <w:r w:rsidRPr="00882976">
        <w:rPr>
          <w:rFonts w:cs="Arial"/>
        </w:rPr>
        <w:t>In deriving the estimated cost of demand the following projections have been used:</w:t>
      </w:r>
    </w:p>
    <w:p w14:paraId="3FE320DF" w14:textId="63C4DD21" w:rsidR="00A30271" w:rsidRDefault="00F53647" w:rsidP="000D541D">
      <w:pPr>
        <w:pStyle w:val="ListParagraph"/>
        <w:numPr>
          <w:ilvl w:val="0"/>
          <w:numId w:val="26"/>
        </w:numPr>
        <w:ind w:left="426" w:hanging="437"/>
        <w:rPr>
          <w:rFonts w:cs="Arial"/>
        </w:rPr>
      </w:pPr>
      <w:r w:rsidRPr="00882976">
        <w:rPr>
          <w:rFonts w:cs="Arial"/>
        </w:rPr>
        <w:t>Older People – population projections from the ONS for the aged over 85 population.</w:t>
      </w:r>
    </w:p>
    <w:p w14:paraId="12641D4C" w14:textId="77777777" w:rsidR="000D541D" w:rsidRPr="000D541D" w:rsidRDefault="000D541D" w:rsidP="000D541D">
      <w:pPr>
        <w:pStyle w:val="ListParagraph"/>
        <w:ind w:left="426"/>
        <w:rPr>
          <w:rFonts w:cs="Arial"/>
        </w:rPr>
      </w:pPr>
    </w:p>
    <w:tbl>
      <w:tblPr>
        <w:tblW w:w="8266" w:type="dxa"/>
        <w:jc w:val="center"/>
        <w:tblLayout w:type="fixed"/>
        <w:tblLook w:val="04A0" w:firstRow="1" w:lastRow="0" w:firstColumn="1" w:lastColumn="0" w:noHBand="0" w:noVBand="1"/>
      </w:tblPr>
      <w:tblGrid>
        <w:gridCol w:w="2977"/>
        <w:gridCol w:w="1322"/>
        <w:gridCol w:w="1322"/>
        <w:gridCol w:w="1322"/>
        <w:gridCol w:w="1323"/>
      </w:tblGrid>
      <w:tr w:rsidR="0000699F" w:rsidRPr="00882976" w14:paraId="2D6FE979" w14:textId="77777777" w:rsidTr="00957B05">
        <w:trPr>
          <w:trHeight w:val="403"/>
          <w:jc w:val="center"/>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9CBF1" w14:textId="77777777" w:rsidR="0000699F" w:rsidRPr="00882976" w:rsidRDefault="0000699F" w:rsidP="005A1497">
            <w:pPr>
              <w:spacing w:after="0"/>
              <w:jc w:val="left"/>
              <w:rPr>
                <w:rFonts w:eastAsia="Times New Roman" w:cs="Arial"/>
                <w:b/>
                <w:lang w:eastAsia="en-GB"/>
              </w:rPr>
            </w:pP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9EF36B7"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2017/18</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130059"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2018/19</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01161A"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2019/20</w:t>
            </w:r>
          </w:p>
        </w:tc>
        <w:tc>
          <w:tcPr>
            <w:tcW w:w="13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B986AA"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2020/21</w:t>
            </w:r>
          </w:p>
        </w:tc>
      </w:tr>
      <w:tr w:rsidR="0000699F" w:rsidRPr="00882976" w14:paraId="086704B9" w14:textId="77777777" w:rsidTr="00957B05">
        <w:trPr>
          <w:trHeight w:val="532"/>
          <w:jc w:val="center"/>
        </w:trPr>
        <w:tc>
          <w:tcPr>
            <w:tcW w:w="2977" w:type="dxa"/>
            <w:tcBorders>
              <w:top w:val="nil"/>
              <w:left w:val="single" w:sz="4" w:space="0" w:color="auto"/>
              <w:bottom w:val="single" w:sz="4" w:space="0" w:color="auto"/>
              <w:right w:val="single" w:sz="4" w:space="0" w:color="auto"/>
            </w:tcBorders>
          </w:tcPr>
          <w:p w14:paraId="395C85E6" w14:textId="77777777" w:rsidR="0000699F" w:rsidRPr="00882976" w:rsidRDefault="0000699F" w:rsidP="000A4469">
            <w:pPr>
              <w:spacing w:after="0"/>
              <w:jc w:val="left"/>
              <w:rPr>
                <w:rFonts w:eastAsia="Times New Roman" w:cs="Arial"/>
                <w:lang w:eastAsia="en-GB"/>
              </w:rPr>
            </w:pPr>
            <w:r w:rsidRPr="00882976">
              <w:rPr>
                <w:rFonts w:eastAsia="Times New Roman" w:cs="Arial"/>
                <w:lang w:eastAsia="en-GB"/>
              </w:rPr>
              <w:t>Total Older People Population Projection Growth</w:t>
            </w:r>
          </w:p>
        </w:tc>
        <w:tc>
          <w:tcPr>
            <w:tcW w:w="1322" w:type="dxa"/>
            <w:tcBorders>
              <w:top w:val="nil"/>
              <w:left w:val="nil"/>
              <w:bottom w:val="single" w:sz="4" w:space="0" w:color="auto"/>
              <w:right w:val="single" w:sz="4" w:space="0" w:color="auto"/>
            </w:tcBorders>
            <w:shd w:val="clear" w:color="auto" w:fill="auto"/>
            <w:noWrap/>
            <w:vAlign w:val="center"/>
            <w:hideMark/>
          </w:tcPr>
          <w:p w14:paraId="11BAEA4D" w14:textId="45FCD816" w:rsidR="0000699F" w:rsidRPr="00882976" w:rsidRDefault="0000699F" w:rsidP="005B6A8A">
            <w:pPr>
              <w:spacing w:after="0"/>
              <w:jc w:val="center"/>
              <w:rPr>
                <w:rFonts w:eastAsia="Times New Roman" w:cs="Arial"/>
                <w:lang w:eastAsia="en-GB"/>
              </w:rPr>
            </w:pPr>
            <w:r w:rsidRPr="00882976">
              <w:rPr>
                <w:rFonts w:eastAsia="Times New Roman" w:cs="Arial"/>
                <w:lang w:eastAsia="en-GB"/>
              </w:rPr>
              <w:t>1.92%</w:t>
            </w:r>
          </w:p>
        </w:tc>
        <w:tc>
          <w:tcPr>
            <w:tcW w:w="1322" w:type="dxa"/>
            <w:tcBorders>
              <w:top w:val="nil"/>
              <w:left w:val="nil"/>
              <w:bottom w:val="single" w:sz="4" w:space="0" w:color="auto"/>
              <w:right w:val="single" w:sz="4" w:space="0" w:color="auto"/>
            </w:tcBorders>
            <w:shd w:val="clear" w:color="auto" w:fill="auto"/>
            <w:noWrap/>
            <w:vAlign w:val="center"/>
            <w:hideMark/>
          </w:tcPr>
          <w:p w14:paraId="4ABB46CB" w14:textId="1A5AFF03" w:rsidR="0000699F" w:rsidRPr="00882976" w:rsidRDefault="0000699F" w:rsidP="005B6A8A">
            <w:pPr>
              <w:spacing w:after="0"/>
              <w:jc w:val="center"/>
              <w:rPr>
                <w:rFonts w:eastAsia="Times New Roman" w:cs="Arial"/>
                <w:lang w:eastAsia="en-GB"/>
              </w:rPr>
            </w:pPr>
            <w:r w:rsidRPr="00882976">
              <w:rPr>
                <w:rFonts w:eastAsia="Times New Roman" w:cs="Arial"/>
                <w:lang w:eastAsia="en-GB"/>
              </w:rPr>
              <w:t>2.52%</w:t>
            </w:r>
          </w:p>
        </w:tc>
        <w:tc>
          <w:tcPr>
            <w:tcW w:w="1322" w:type="dxa"/>
            <w:tcBorders>
              <w:top w:val="nil"/>
              <w:left w:val="nil"/>
              <w:bottom w:val="single" w:sz="4" w:space="0" w:color="auto"/>
              <w:right w:val="single" w:sz="4" w:space="0" w:color="auto"/>
            </w:tcBorders>
            <w:shd w:val="clear" w:color="auto" w:fill="auto"/>
            <w:noWrap/>
            <w:vAlign w:val="center"/>
            <w:hideMark/>
          </w:tcPr>
          <w:p w14:paraId="0D97A3C7" w14:textId="076741A1" w:rsidR="0000699F" w:rsidRPr="00882976" w:rsidRDefault="0000699F" w:rsidP="005B6A8A">
            <w:pPr>
              <w:spacing w:after="0"/>
              <w:jc w:val="center"/>
              <w:rPr>
                <w:rFonts w:eastAsia="Times New Roman" w:cs="Arial"/>
                <w:lang w:eastAsia="en-GB"/>
              </w:rPr>
            </w:pPr>
            <w:r w:rsidRPr="00882976">
              <w:rPr>
                <w:rFonts w:eastAsia="Times New Roman" w:cs="Arial"/>
                <w:lang w:eastAsia="en-GB"/>
              </w:rPr>
              <w:t>3.07%</w:t>
            </w:r>
          </w:p>
        </w:tc>
        <w:tc>
          <w:tcPr>
            <w:tcW w:w="1323" w:type="dxa"/>
            <w:tcBorders>
              <w:top w:val="nil"/>
              <w:left w:val="nil"/>
              <w:bottom w:val="single" w:sz="4" w:space="0" w:color="auto"/>
              <w:right w:val="single" w:sz="4" w:space="0" w:color="auto"/>
            </w:tcBorders>
            <w:shd w:val="clear" w:color="auto" w:fill="auto"/>
            <w:noWrap/>
            <w:vAlign w:val="center"/>
            <w:hideMark/>
          </w:tcPr>
          <w:p w14:paraId="0D72CE75" w14:textId="7AF60E40" w:rsidR="0000699F" w:rsidRPr="00882976" w:rsidRDefault="0000699F" w:rsidP="0000699F">
            <w:pPr>
              <w:spacing w:after="0"/>
              <w:jc w:val="center"/>
              <w:rPr>
                <w:rFonts w:eastAsia="Times New Roman" w:cs="Arial"/>
                <w:lang w:eastAsia="en-GB"/>
              </w:rPr>
            </w:pPr>
            <w:r w:rsidRPr="00882976">
              <w:rPr>
                <w:rFonts w:eastAsia="Times New Roman" w:cs="Arial"/>
                <w:lang w:eastAsia="en-GB"/>
              </w:rPr>
              <w:t>3.57%</w:t>
            </w:r>
          </w:p>
        </w:tc>
      </w:tr>
    </w:tbl>
    <w:p w14:paraId="732CD2BE" w14:textId="3C6D83F8" w:rsidR="00F53647" w:rsidRPr="00882976" w:rsidRDefault="007D249C" w:rsidP="00F53647">
      <w:pPr>
        <w:rPr>
          <w:rFonts w:cs="Arial"/>
          <w:highlight w:val="yellow"/>
        </w:rPr>
      </w:pPr>
      <w:r w:rsidRPr="00882976">
        <w:rPr>
          <w:rFonts w:cs="Arial"/>
          <w:highlight w:val="yellow"/>
        </w:rPr>
        <w:t xml:space="preserve"> </w:t>
      </w:r>
    </w:p>
    <w:p w14:paraId="5395DF10" w14:textId="498B6522" w:rsidR="007D249C" w:rsidRPr="00882976" w:rsidRDefault="00AB0EBD" w:rsidP="007D249C">
      <w:pPr>
        <w:pStyle w:val="ListParagraph"/>
        <w:ind w:left="502"/>
        <w:rPr>
          <w:rFonts w:cs="Arial"/>
        </w:rPr>
      </w:pPr>
      <w:r w:rsidRPr="00882976">
        <w:rPr>
          <w:rFonts w:cs="Arial"/>
        </w:rPr>
        <w:t>The percentages presented above are those that were used within the p</w:t>
      </w:r>
      <w:r w:rsidR="007D249C" w:rsidRPr="00882976">
        <w:rPr>
          <w:rFonts w:cs="Arial"/>
        </w:rPr>
        <w:t>revious MTFS</w:t>
      </w:r>
      <w:r w:rsidRPr="00882976">
        <w:rPr>
          <w:rFonts w:cs="Arial"/>
        </w:rPr>
        <w:t>, and still reflect the best estimate of population increases and have therefore continued to be used within this MTFS</w:t>
      </w:r>
      <w:r w:rsidR="00943202" w:rsidRPr="00882976">
        <w:rPr>
          <w:rFonts w:cs="Arial"/>
        </w:rPr>
        <w:t xml:space="preserve">. </w:t>
      </w:r>
    </w:p>
    <w:p w14:paraId="6F3C2400" w14:textId="77777777" w:rsidR="007D249C" w:rsidRPr="00882976" w:rsidRDefault="007D249C" w:rsidP="007D249C">
      <w:pPr>
        <w:pStyle w:val="ListParagraph"/>
        <w:ind w:left="502"/>
        <w:rPr>
          <w:rFonts w:cs="Arial"/>
        </w:rPr>
      </w:pPr>
    </w:p>
    <w:p w14:paraId="7F5398D3" w14:textId="4F583A2C" w:rsidR="00E2033F" w:rsidRPr="00882976" w:rsidRDefault="0000699F" w:rsidP="00E2033F">
      <w:pPr>
        <w:spacing w:after="0"/>
        <w:ind w:left="502"/>
        <w:rPr>
          <w:rFonts w:cs="Arial"/>
        </w:rPr>
      </w:pPr>
      <w:r w:rsidRPr="00882976">
        <w:rPr>
          <w:rFonts w:cs="Arial"/>
        </w:rPr>
        <w:t xml:space="preserve">All other demand assumptions contained within this revised MTFS </w:t>
      </w:r>
      <w:r w:rsidR="007D249C" w:rsidRPr="00882976">
        <w:rPr>
          <w:rFonts w:cs="Arial"/>
        </w:rPr>
        <w:t xml:space="preserve">regarding Adult Social Care </w:t>
      </w:r>
      <w:r w:rsidRPr="00882976">
        <w:rPr>
          <w:rFonts w:cs="Arial"/>
        </w:rPr>
        <w:t>have</w:t>
      </w:r>
      <w:r w:rsidR="005D7E94" w:rsidRPr="00882976">
        <w:rPr>
          <w:rFonts w:cs="Arial"/>
        </w:rPr>
        <w:t xml:space="preserve"> been</w:t>
      </w:r>
      <w:r w:rsidR="00AB0EBD" w:rsidRPr="00882976">
        <w:rPr>
          <w:rFonts w:cs="Arial"/>
        </w:rPr>
        <w:t xml:space="preserve"> reviewed based on the most up-to-date trend analysis and</w:t>
      </w:r>
      <w:r w:rsidR="005D7E94" w:rsidRPr="00882976">
        <w:rPr>
          <w:rFonts w:cs="Arial"/>
        </w:rPr>
        <w:t xml:space="preserve"> also incorporated budget </w:t>
      </w:r>
      <w:r w:rsidR="00777022" w:rsidRPr="00882976">
        <w:rPr>
          <w:rFonts w:cs="Arial"/>
        </w:rPr>
        <w:t>realignments</w:t>
      </w:r>
      <w:r w:rsidR="00F21D87">
        <w:rPr>
          <w:rFonts w:cs="Arial"/>
        </w:rPr>
        <w:t xml:space="preserve"> that are reflected within the revenue monitoring report</w:t>
      </w:r>
      <w:r w:rsidR="005D7E94" w:rsidRPr="00882976">
        <w:rPr>
          <w:rFonts w:cs="Arial"/>
        </w:rPr>
        <w:t>.</w:t>
      </w:r>
      <w:r w:rsidR="00AB0EBD" w:rsidRPr="00882976">
        <w:rPr>
          <w:rFonts w:cs="Arial"/>
        </w:rPr>
        <w:t xml:space="preserve"> </w:t>
      </w:r>
      <w:r w:rsidR="00365D28">
        <w:rPr>
          <w:rFonts w:cs="Arial"/>
        </w:rPr>
        <w:t>The previous MTFS contained £5</w:t>
      </w:r>
      <w:r w:rsidR="00B2378B">
        <w:rPr>
          <w:rFonts w:cs="Arial"/>
        </w:rPr>
        <w:t>6.493</w:t>
      </w:r>
      <w:r w:rsidR="00AB0EBD" w:rsidRPr="00882976">
        <w:rPr>
          <w:rFonts w:cs="Arial"/>
        </w:rPr>
        <w:t xml:space="preserve">m additional budget requirement </w:t>
      </w:r>
      <w:r w:rsidR="005D7E94" w:rsidRPr="00882976">
        <w:rPr>
          <w:rFonts w:cs="Arial"/>
        </w:rPr>
        <w:t>for demand over</w:t>
      </w:r>
      <w:r w:rsidR="00AB0EBD" w:rsidRPr="00882976">
        <w:rPr>
          <w:rFonts w:cs="Arial"/>
        </w:rPr>
        <w:t xml:space="preserve"> the next four years, whereas this MTFS now contains £</w:t>
      </w:r>
      <w:r w:rsidR="000D541D">
        <w:rPr>
          <w:rFonts w:cs="Arial"/>
        </w:rPr>
        <w:t>5</w:t>
      </w:r>
      <w:r w:rsidR="008759F7">
        <w:rPr>
          <w:rFonts w:cs="Arial"/>
        </w:rPr>
        <w:t>2.354</w:t>
      </w:r>
      <w:r w:rsidR="00AB0EBD" w:rsidRPr="00882976">
        <w:rPr>
          <w:rFonts w:cs="Arial"/>
        </w:rPr>
        <w:t>m</w:t>
      </w:r>
      <w:r w:rsidR="008759F7">
        <w:rPr>
          <w:rFonts w:cs="Arial"/>
        </w:rPr>
        <w:t>. The reduction of £</w:t>
      </w:r>
      <w:r w:rsidR="009C3A54">
        <w:rPr>
          <w:rFonts w:cs="Arial"/>
        </w:rPr>
        <w:t>4.140</w:t>
      </w:r>
      <w:r w:rsidR="008759F7">
        <w:rPr>
          <w:rFonts w:cs="Arial"/>
        </w:rPr>
        <w:t>m</w:t>
      </w:r>
      <w:r w:rsidR="009C3A54">
        <w:rPr>
          <w:rFonts w:cs="Arial"/>
        </w:rPr>
        <w:t xml:space="preserve"> primarily relates to a detailed review of actual activity in the year to date which supports a lower increase in those demand assumptions reflected in the previous MTFS. </w:t>
      </w:r>
    </w:p>
    <w:p w14:paraId="315570FC" w14:textId="77777777" w:rsidR="00E2033F" w:rsidRPr="00882976" w:rsidRDefault="00E2033F" w:rsidP="00E2033F">
      <w:pPr>
        <w:pStyle w:val="ListParagraph"/>
        <w:spacing w:after="0"/>
        <w:rPr>
          <w:rFonts w:cs="Arial"/>
        </w:rPr>
      </w:pPr>
    </w:p>
    <w:p w14:paraId="264FBFF1" w14:textId="451AD475" w:rsidR="00E2033F" w:rsidRPr="00882976" w:rsidRDefault="00E2033F" w:rsidP="00E2033F">
      <w:pPr>
        <w:pStyle w:val="ListParagraph"/>
        <w:spacing w:after="0"/>
        <w:rPr>
          <w:rFonts w:cs="Arial"/>
        </w:rPr>
      </w:pPr>
      <w:r w:rsidRPr="00882976">
        <w:rPr>
          <w:rFonts w:cs="Arial"/>
        </w:rPr>
        <w:t>The demand included in the MTFS for Adults Service is profiled as follows:</w:t>
      </w:r>
    </w:p>
    <w:p w14:paraId="5C8343AF" w14:textId="76B1AE00" w:rsidR="00E2033F" w:rsidRPr="00882976" w:rsidRDefault="008759F7" w:rsidP="00882976">
      <w:pPr>
        <w:pStyle w:val="ListParagraph"/>
        <w:numPr>
          <w:ilvl w:val="1"/>
          <w:numId w:val="29"/>
        </w:numPr>
        <w:spacing w:after="0"/>
        <w:jc w:val="left"/>
        <w:rPr>
          <w:rFonts w:cs="Arial"/>
        </w:rPr>
      </w:pPr>
      <w:r>
        <w:rPr>
          <w:rFonts w:cs="Arial"/>
        </w:rPr>
        <w:t>2017/18 – £9.456</w:t>
      </w:r>
      <w:r w:rsidR="00E2033F" w:rsidRPr="00882976">
        <w:rPr>
          <w:rFonts w:cs="Arial"/>
        </w:rPr>
        <w:t>m</w:t>
      </w:r>
    </w:p>
    <w:p w14:paraId="32C88730" w14:textId="0A418332" w:rsidR="00E2033F" w:rsidRPr="00882976" w:rsidRDefault="000D541D" w:rsidP="00882976">
      <w:pPr>
        <w:pStyle w:val="ListParagraph"/>
        <w:numPr>
          <w:ilvl w:val="1"/>
          <w:numId w:val="29"/>
        </w:numPr>
        <w:spacing w:after="0"/>
        <w:jc w:val="left"/>
        <w:rPr>
          <w:rFonts w:cs="Arial"/>
        </w:rPr>
      </w:pPr>
      <w:r>
        <w:rPr>
          <w:rFonts w:cs="Arial"/>
        </w:rPr>
        <w:t>2018/19 - £11.</w:t>
      </w:r>
      <w:r w:rsidR="008759F7">
        <w:rPr>
          <w:rFonts w:cs="Arial"/>
        </w:rPr>
        <w:t>369</w:t>
      </w:r>
      <w:r w:rsidR="00E2033F" w:rsidRPr="00882976">
        <w:rPr>
          <w:rFonts w:cs="Arial"/>
        </w:rPr>
        <w:t>m</w:t>
      </w:r>
    </w:p>
    <w:p w14:paraId="51F70485" w14:textId="18C2AEEF" w:rsidR="00E2033F" w:rsidRPr="00882976" w:rsidRDefault="008759F7" w:rsidP="00882976">
      <w:pPr>
        <w:pStyle w:val="ListParagraph"/>
        <w:numPr>
          <w:ilvl w:val="1"/>
          <w:numId w:val="29"/>
        </w:numPr>
        <w:spacing w:after="0"/>
        <w:jc w:val="left"/>
        <w:rPr>
          <w:rFonts w:cs="Arial"/>
        </w:rPr>
      </w:pPr>
      <w:r>
        <w:rPr>
          <w:rFonts w:cs="Arial"/>
        </w:rPr>
        <w:t>2019/20 - £14.476</w:t>
      </w:r>
      <w:r w:rsidR="00E2033F" w:rsidRPr="00882976">
        <w:rPr>
          <w:rFonts w:cs="Arial"/>
        </w:rPr>
        <w:t>m</w:t>
      </w:r>
    </w:p>
    <w:p w14:paraId="5340144D" w14:textId="2ED7342B" w:rsidR="0000699F" w:rsidRPr="00882976" w:rsidRDefault="008759F7" w:rsidP="00882976">
      <w:pPr>
        <w:pStyle w:val="ListParagraph"/>
        <w:numPr>
          <w:ilvl w:val="1"/>
          <w:numId w:val="29"/>
        </w:numPr>
        <w:spacing w:after="0"/>
        <w:jc w:val="left"/>
        <w:rPr>
          <w:rFonts w:cs="Arial"/>
        </w:rPr>
      </w:pPr>
      <w:r>
        <w:rPr>
          <w:rFonts w:cs="Arial"/>
        </w:rPr>
        <w:t>2020/21 - £17.053</w:t>
      </w:r>
      <w:r w:rsidR="00E2033F" w:rsidRPr="00882976">
        <w:rPr>
          <w:rFonts w:cs="Arial"/>
        </w:rPr>
        <w:t>m</w:t>
      </w:r>
    </w:p>
    <w:p w14:paraId="186DC060" w14:textId="77777777" w:rsidR="00E2033F" w:rsidRPr="00882976" w:rsidRDefault="00E2033F" w:rsidP="00E2033F">
      <w:pPr>
        <w:pStyle w:val="ListParagraph"/>
        <w:spacing w:after="0"/>
        <w:ind w:left="1440"/>
        <w:jc w:val="left"/>
        <w:rPr>
          <w:rFonts w:cs="Arial"/>
        </w:rPr>
      </w:pPr>
    </w:p>
    <w:p w14:paraId="4084A882" w14:textId="38DD4FD0" w:rsidR="005A1497" w:rsidRPr="00410447" w:rsidRDefault="0000699F" w:rsidP="005C03EB">
      <w:pPr>
        <w:pStyle w:val="ListParagraph"/>
        <w:numPr>
          <w:ilvl w:val="0"/>
          <w:numId w:val="26"/>
        </w:numPr>
        <w:spacing w:after="0"/>
        <w:rPr>
          <w:rFonts w:cs="Arial"/>
        </w:rPr>
      </w:pPr>
      <w:r w:rsidRPr="00410447">
        <w:rPr>
          <w:rFonts w:cs="Arial"/>
        </w:rPr>
        <w:t>The cost of Children's Social Care</w:t>
      </w:r>
      <w:r w:rsidR="000E0CB9" w:rsidRPr="00410447">
        <w:rPr>
          <w:rFonts w:cs="Arial"/>
        </w:rPr>
        <w:t xml:space="preserve"> continues to experience increasing demand</w:t>
      </w:r>
      <w:r w:rsidRPr="00410447">
        <w:rPr>
          <w:rFonts w:cs="Arial"/>
        </w:rPr>
        <w:t xml:space="preserve"> </w:t>
      </w:r>
      <w:r w:rsidR="000E0CB9" w:rsidRPr="00410447">
        <w:rPr>
          <w:rFonts w:cs="Arial"/>
        </w:rPr>
        <w:t>and has been significantly increased again as part of this iteration of the MTFS</w:t>
      </w:r>
      <w:r w:rsidR="005A1497" w:rsidRPr="00410447">
        <w:rPr>
          <w:rFonts w:cs="Arial"/>
        </w:rPr>
        <w:t xml:space="preserve"> (and can be linked to the budget monitoring positon for Children's Social Care)</w:t>
      </w:r>
      <w:r w:rsidR="007D249C" w:rsidRPr="00410447">
        <w:rPr>
          <w:rFonts w:cs="Arial"/>
        </w:rPr>
        <w:t xml:space="preserve">. </w:t>
      </w:r>
      <w:r w:rsidR="000E0CB9" w:rsidRPr="00410447">
        <w:rPr>
          <w:rFonts w:cs="Arial"/>
        </w:rPr>
        <w:t xml:space="preserve">The forecast </w:t>
      </w:r>
      <w:r w:rsidR="001B6063">
        <w:rPr>
          <w:rFonts w:cs="Arial"/>
        </w:rPr>
        <w:t xml:space="preserve">continues to be </w:t>
      </w:r>
      <w:r w:rsidR="000E0CB9" w:rsidRPr="00410447">
        <w:rPr>
          <w:rFonts w:cs="Arial"/>
        </w:rPr>
        <w:t>£2</w:t>
      </w:r>
      <w:r w:rsidR="00E2033F" w:rsidRPr="00410447">
        <w:rPr>
          <w:rFonts w:cs="Arial"/>
        </w:rPr>
        <w:t>1.420</w:t>
      </w:r>
      <w:r w:rsidR="000E0CB9" w:rsidRPr="00410447">
        <w:rPr>
          <w:rFonts w:cs="Arial"/>
        </w:rPr>
        <w:t xml:space="preserve">m. This is in addition to significant additional budget that the service has been given to support improvements </w:t>
      </w:r>
      <w:r w:rsidR="00410447">
        <w:rPr>
          <w:rFonts w:cs="Arial"/>
        </w:rPr>
        <w:t>following the Ofsted inspection</w:t>
      </w:r>
      <w:r w:rsidR="005A1497" w:rsidRPr="00410447">
        <w:rPr>
          <w:rFonts w:cs="Arial"/>
        </w:rPr>
        <w:t>.</w:t>
      </w:r>
      <w:r w:rsidR="000E0CB9" w:rsidRPr="00410447">
        <w:rPr>
          <w:rFonts w:cs="Arial"/>
        </w:rPr>
        <w:t xml:space="preserve"> </w:t>
      </w:r>
      <w:r w:rsidR="009C3A54">
        <w:rPr>
          <w:rFonts w:cs="Arial"/>
        </w:rPr>
        <w:t xml:space="preserve">Both previous MTFS' reported to Cabinet in 2016/17 included significant increases to the Children's Social Care budget. However, as part of this MTFS there is not a further additional requirement as previous increases are currently deemed sufficient based on the most recent activity information </w:t>
      </w:r>
      <w:proofErr w:type="gramStart"/>
      <w:r w:rsidR="009C3A54">
        <w:rPr>
          <w:rFonts w:cs="Arial"/>
        </w:rPr>
        <w:t>available.</w:t>
      </w:r>
      <w:proofErr w:type="gramEnd"/>
    </w:p>
    <w:p w14:paraId="73D7C75F" w14:textId="77777777" w:rsidR="00624737" w:rsidRPr="00882976" w:rsidRDefault="00624737" w:rsidP="00624737">
      <w:pPr>
        <w:pStyle w:val="ListParagraph"/>
        <w:rPr>
          <w:rFonts w:cs="Arial"/>
        </w:rPr>
      </w:pPr>
    </w:p>
    <w:p w14:paraId="251882E4" w14:textId="4D25E520" w:rsidR="006054E9" w:rsidRDefault="000E0CB9" w:rsidP="004A4994">
      <w:pPr>
        <w:pStyle w:val="ListParagraph"/>
        <w:spacing w:after="0"/>
        <w:ind w:left="502"/>
        <w:rPr>
          <w:rFonts w:cs="Arial"/>
        </w:rPr>
      </w:pPr>
      <w:r w:rsidRPr="00882976">
        <w:rPr>
          <w:rFonts w:cs="Arial"/>
        </w:rPr>
        <w:t xml:space="preserve">The particular area of concern is in relation to Agency Residential placements as demand seems to be particularly high in this area. </w:t>
      </w:r>
      <w:r w:rsidR="00624737" w:rsidRPr="00EE04D8">
        <w:rPr>
          <w:rFonts w:cs="Arial"/>
        </w:rPr>
        <w:t xml:space="preserve">The forecast is based on available financial and activity information and assumes that placements will </w:t>
      </w:r>
      <w:r w:rsidRPr="00EE04D8">
        <w:rPr>
          <w:rFonts w:cs="Arial"/>
        </w:rPr>
        <w:t xml:space="preserve">continue to </w:t>
      </w:r>
      <w:r w:rsidR="00624737" w:rsidRPr="00EE04D8">
        <w:rPr>
          <w:rFonts w:cs="Arial"/>
        </w:rPr>
        <w:t xml:space="preserve">increase </w:t>
      </w:r>
      <w:r w:rsidRPr="00EE04D8">
        <w:rPr>
          <w:rFonts w:cs="Arial"/>
        </w:rPr>
        <w:t xml:space="preserve">by </w:t>
      </w:r>
      <w:r w:rsidR="008D393E">
        <w:rPr>
          <w:rFonts w:cs="Arial"/>
        </w:rPr>
        <w:t>3</w:t>
      </w:r>
      <w:r w:rsidRPr="00EE04D8">
        <w:rPr>
          <w:rFonts w:cs="Arial"/>
        </w:rPr>
        <w:t>.4% (the current</w:t>
      </w:r>
      <w:r w:rsidRPr="00882976">
        <w:rPr>
          <w:rFonts w:cs="Arial"/>
        </w:rPr>
        <w:t xml:space="preserve"> average monthly increase in the number of children placed in Agency Residential) until the end of the financial year and </w:t>
      </w:r>
      <w:r w:rsidR="00624737" w:rsidRPr="00882976">
        <w:rPr>
          <w:rFonts w:cs="Arial"/>
        </w:rPr>
        <w:t>then after that will increase as per child population increases</w:t>
      </w:r>
      <w:r w:rsidR="004A4994" w:rsidRPr="00882976">
        <w:rPr>
          <w:rFonts w:cs="Arial"/>
        </w:rPr>
        <w:t xml:space="preserve">. </w:t>
      </w:r>
      <w:r w:rsidR="00624737" w:rsidRPr="00882976">
        <w:rPr>
          <w:rFonts w:cs="Arial"/>
        </w:rPr>
        <w:t xml:space="preserve">Work is </w:t>
      </w:r>
      <w:r w:rsidR="00624737" w:rsidRPr="00882976">
        <w:rPr>
          <w:rFonts w:cs="Arial"/>
        </w:rPr>
        <w:lastRenderedPageBreak/>
        <w:t>underway to review the underlying reasons for increases in numbers of placements and is an area that is being kept closely under review</w:t>
      </w:r>
      <w:r w:rsidR="004A4994" w:rsidRPr="00882976">
        <w:rPr>
          <w:rFonts w:cs="Arial"/>
        </w:rPr>
        <w:t xml:space="preserve"> by the 0-25 Board</w:t>
      </w:r>
      <w:r w:rsidR="00624737" w:rsidRPr="00882976">
        <w:rPr>
          <w:rFonts w:cs="Arial"/>
        </w:rPr>
        <w:t>.</w:t>
      </w:r>
      <w:r w:rsidR="004A4994" w:rsidRPr="00882976">
        <w:rPr>
          <w:rFonts w:cs="Arial"/>
        </w:rPr>
        <w:t xml:space="preserve"> </w:t>
      </w:r>
    </w:p>
    <w:p w14:paraId="2B41C0D9" w14:textId="77777777" w:rsidR="006054E9" w:rsidRDefault="006054E9" w:rsidP="004A4994">
      <w:pPr>
        <w:pStyle w:val="ListParagraph"/>
        <w:spacing w:after="0"/>
        <w:ind w:left="502"/>
        <w:rPr>
          <w:rFonts w:cs="Arial"/>
        </w:rPr>
      </w:pPr>
    </w:p>
    <w:p w14:paraId="4B937AB8" w14:textId="45AD930F" w:rsidR="00624737" w:rsidRPr="00882976" w:rsidRDefault="004A4994" w:rsidP="004A4994">
      <w:pPr>
        <w:pStyle w:val="ListParagraph"/>
        <w:spacing w:after="0"/>
        <w:ind w:left="502"/>
        <w:rPr>
          <w:rFonts w:cs="Arial"/>
        </w:rPr>
      </w:pPr>
      <w:r w:rsidRPr="00882976">
        <w:rPr>
          <w:rFonts w:cs="Arial"/>
        </w:rPr>
        <w:t>A Finance Sub-Group has been established to specifically focus on the cost drivers, unit costs and financial analysis of the costs and demand levels being experienced in Children's Social Care, with their findings being reported back to the 0-25 Board. T</w:t>
      </w:r>
      <w:r w:rsidR="00315E2F" w:rsidRPr="00882976">
        <w:rPr>
          <w:rFonts w:cs="Arial"/>
        </w:rPr>
        <w:t xml:space="preserve">his </w:t>
      </w:r>
      <w:r w:rsidRPr="00882976">
        <w:rPr>
          <w:rFonts w:cs="Arial"/>
        </w:rPr>
        <w:t xml:space="preserve">analysis and action is vital as the current demand levels </w:t>
      </w:r>
      <w:r w:rsidR="006054E9">
        <w:rPr>
          <w:rFonts w:cs="Arial"/>
        </w:rPr>
        <w:t>represent a</w:t>
      </w:r>
      <w:r w:rsidR="00315E2F" w:rsidRPr="00882976">
        <w:rPr>
          <w:rFonts w:cs="Arial"/>
        </w:rPr>
        <w:t xml:space="preserve"> significant risk to the MTFS</w:t>
      </w:r>
      <w:r w:rsidR="006054E9">
        <w:rPr>
          <w:rFonts w:cs="Arial"/>
        </w:rPr>
        <w:t xml:space="preserve"> assumptions</w:t>
      </w:r>
      <w:r w:rsidR="00315E2F" w:rsidRPr="00882976">
        <w:rPr>
          <w:rFonts w:cs="Arial"/>
        </w:rPr>
        <w:t xml:space="preserve">, as there are </w:t>
      </w:r>
      <w:r w:rsidR="006054E9">
        <w:rPr>
          <w:rFonts w:cs="Arial"/>
        </w:rPr>
        <w:t xml:space="preserve">only </w:t>
      </w:r>
      <w:r w:rsidR="00315E2F" w:rsidRPr="00882976">
        <w:rPr>
          <w:rFonts w:cs="Arial"/>
        </w:rPr>
        <w:t xml:space="preserve">currently </w:t>
      </w:r>
      <w:r w:rsidR="006054E9">
        <w:rPr>
          <w:rFonts w:cs="Arial"/>
        </w:rPr>
        <w:t>population increases (c</w:t>
      </w:r>
      <w:r w:rsidR="00315E2F" w:rsidRPr="00882976">
        <w:rPr>
          <w:rFonts w:cs="Arial"/>
        </w:rPr>
        <w:t>£0.300m - £0.400m</w:t>
      </w:r>
      <w:r w:rsidR="006054E9">
        <w:rPr>
          <w:rFonts w:cs="Arial"/>
        </w:rPr>
        <w:t>)</w:t>
      </w:r>
      <w:r w:rsidR="00315E2F" w:rsidRPr="00882976">
        <w:rPr>
          <w:rFonts w:cs="Arial"/>
        </w:rPr>
        <w:t xml:space="preserve"> included in each year from 2018/19 – 2020/21 which </w:t>
      </w:r>
      <w:r w:rsidR="009930C6">
        <w:rPr>
          <w:rFonts w:cs="Arial"/>
        </w:rPr>
        <w:t>are significantly below the</w:t>
      </w:r>
      <w:r w:rsidR="00315E2F" w:rsidRPr="00882976">
        <w:rPr>
          <w:rFonts w:cs="Arial"/>
        </w:rPr>
        <w:t xml:space="preserve"> current demand levels. </w:t>
      </w:r>
    </w:p>
    <w:p w14:paraId="1CEAD053" w14:textId="77777777" w:rsidR="00214ED1" w:rsidRPr="00882976" w:rsidRDefault="00214ED1" w:rsidP="00214ED1">
      <w:pPr>
        <w:pStyle w:val="ListParagraph"/>
        <w:spacing w:after="0"/>
        <w:ind w:left="502"/>
        <w:rPr>
          <w:rFonts w:cs="Arial"/>
        </w:rPr>
      </w:pPr>
    </w:p>
    <w:p w14:paraId="5EE847A8" w14:textId="1A069AE8" w:rsidR="005D7E94" w:rsidRDefault="00214ED1" w:rsidP="004F5A89">
      <w:pPr>
        <w:pStyle w:val="ListParagraph"/>
        <w:numPr>
          <w:ilvl w:val="0"/>
          <w:numId w:val="26"/>
        </w:numPr>
        <w:spacing w:after="0"/>
        <w:rPr>
          <w:rFonts w:cs="Arial"/>
        </w:rPr>
      </w:pPr>
      <w:r w:rsidRPr="008759F7">
        <w:rPr>
          <w:rFonts w:cs="Arial"/>
        </w:rPr>
        <w:t xml:space="preserve">The revised MTFS for 2017/18 </w:t>
      </w:r>
      <w:r w:rsidR="00F17AA1" w:rsidRPr="008759F7">
        <w:rPr>
          <w:rFonts w:cs="Arial"/>
        </w:rPr>
        <w:t>continues to include a significant amount in relation to Waste Services demand pressures as a result of increases</w:t>
      </w:r>
      <w:r w:rsidRPr="008759F7">
        <w:rPr>
          <w:rFonts w:cs="Arial"/>
        </w:rPr>
        <w:t xml:space="preserve"> in residual waste </w:t>
      </w:r>
      <w:proofErr w:type="spellStart"/>
      <w:r w:rsidRPr="008759F7">
        <w:rPr>
          <w:rFonts w:cs="Arial"/>
        </w:rPr>
        <w:t>arisings</w:t>
      </w:r>
      <w:proofErr w:type="spellEnd"/>
      <w:r w:rsidRPr="008759F7">
        <w:rPr>
          <w:rFonts w:cs="Arial"/>
        </w:rPr>
        <w:t xml:space="preserve"> with</w:t>
      </w:r>
      <w:r w:rsidR="009F07EA" w:rsidRPr="008759F7">
        <w:rPr>
          <w:rFonts w:cs="Arial"/>
        </w:rPr>
        <w:t xml:space="preserve"> 5</w:t>
      </w:r>
      <w:r w:rsidR="008759F7" w:rsidRPr="008759F7">
        <w:rPr>
          <w:rFonts w:cs="Arial"/>
        </w:rPr>
        <w:t>.4</w:t>
      </w:r>
      <w:r w:rsidR="009A29DA" w:rsidRPr="008759F7">
        <w:rPr>
          <w:rFonts w:cs="Arial"/>
        </w:rPr>
        <w:t xml:space="preserve">% </w:t>
      </w:r>
      <w:r w:rsidR="00F17AA1" w:rsidRPr="008759F7">
        <w:rPr>
          <w:rFonts w:cs="Arial"/>
        </w:rPr>
        <w:t>currently</w:t>
      </w:r>
      <w:r w:rsidRPr="008759F7">
        <w:rPr>
          <w:rFonts w:cs="Arial"/>
        </w:rPr>
        <w:t xml:space="preserve"> being forecast (compared to a previously assumed 1%) and som</w:t>
      </w:r>
      <w:r w:rsidR="008D393E" w:rsidRPr="008759F7">
        <w:rPr>
          <w:rFonts w:cs="Arial"/>
        </w:rPr>
        <w:t>e additional green waste costs. T</w:t>
      </w:r>
      <w:r w:rsidR="00F17AA1" w:rsidRPr="008759F7">
        <w:rPr>
          <w:rFonts w:cs="Arial"/>
        </w:rPr>
        <w:t xml:space="preserve">he budget </w:t>
      </w:r>
      <w:r w:rsidR="009F07EA" w:rsidRPr="008759F7">
        <w:rPr>
          <w:rFonts w:cs="Arial"/>
        </w:rPr>
        <w:t xml:space="preserve">requirement for waste </w:t>
      </w:r>
      <w:r w:rsidR="008759F7" w:rsidRPr="008759F7">
        <w:rPr>
          <w:rFonts w:cs="Arial"/>
        </w:rPr>
        <w:t>was previously</w:t>
      </w:r>
      <w:r w:rsidR="009F07EA" w:rsidRPr="008759F7">
        <w:rPr>
          <w:rFonts w:cs="Arial"/>
        </w:rPr>
        <w:t xml:space="preserve"> £11.204</w:t>
      </w:r>
      <w:r w:rsidR="00F17AA1" w:rsidRPr="008759F7">
        <w:rPr>
          <w:rFonts w:cs="Arial"/>
        </w:rPr>
        <w:t xml:space="preserve">m </w:t>
      </w:r>
      <w:r w:rsidR="008759F7" w:rsidRPr="008759F7">
        <w:rPr>
          <w:rFonts w:cs="Arial"/>
        </w:rPr>
        <w:t>and has now increased to £14.</w:t>
      </w:r>
      <w:r w:rsidR="009C3A54">
        <w:rPr>
          <w:rFonts w:cs="Arial"/>
        </w:rPr>
        <w:t>09</w:t>
      </w:r>
      <w:r w:rsidR="008759F7" w:rsidRPr="008759F7">
        <w:rPr>
          <w:rFonts w:cs="Arial"/>
        </w:rPr>
        <w:t xml:space="preserve">2m </w:t>
      </w:r>
      <w:r w:rsidR="008759F7">
        <w:rPr>
          <w:rFonts w:cs="Arial"/>
        </w:rPr>
        <w:t xml:space="preserve">as a result of increased projections for waste </w:t>
      </w:r>
      <w:proofErr w:type="spellStart"/>
      <w:r w:rsidR="008759F7">
        <w:rPr>
          <w:rFonts w:cs="Arial"/>
        </w:rPr>
        <w:t>arisings</w:t>
      </w:r>
      <w:proofErr w:type="spellEnd"/>
      <w:r w:rsidR="008759F7">
        <w:rPr>
          <w:rFonts w:cs="Arial"/>
        </w:rPr>
        <w:t xml:space="preserve"> based on the most recent information available. </w:t>
      </w:r>
    </w:p>
    <w:p w14:paraId="4AEF3311" w14:textId="77777777" w:rsidR="008759F7" w:rsidRPr="008759F7" w:rsidRDefault="008759F7" w:rsidP="008759F7">
      <w:pPr>
        <w:pStyle w:val="ListParagraph"/>
        <w:spacing w:after="0"/>
        <w:ind w:left="502"/>
        <w:rPr>
          <w:rFonts w:cs="Arial"/>
        </w:rPr>
      </w:pPr>
    </w:p>
    <w:p w14:paraId="3C3CF46B" w14:textId="0A06C372" w:rsidR="000C0795" w:rsidRPr="00882976" w:rsidRDefault="005A1497" w:rsidP="005C03EB">
      <w:pPr>
        <w:spacing w:after="0"/>
        <w:rPr>
          <w:rFonts w:cs="Arial"/>
          <w:b/>
        </w:rPr>
      </w:pPr>
      <w:r w:rsidRPr="00882976">
        <w:rPr>
          <w:rFonts w:cs="Arial"/>
          <w:b/>
        </w:rPr>
        <w:t>3.4 Other</w:t>
      </w:r>
    </w:p>
    <w:p w14:paraId="0EEAEB37" w14:textId="77777777" w:rsidR="005A1497" w:rsidRPr="00882976" w:rsidRDefault="005A1497" w:rsidP="005C03EB">
      <w:pPr>
        <w:spacing w:after="0"/>
        <w:rPr>
          <w:rFonts w:cs="Arial"/>
          <w:highlight w:val="yellow"/>
        </w:rPr>
      </w:pPr>
    </w:p>
    <w:p w14:paraId="16D004E2" w14:textId="295FE389" w:rsidR="00214ED1" w:rsidRPr="00882976" w:rsidRDefault="00906E4C" w:rsidP="00F17AA1">
      <w:pPr>
        <w:spacing w:after="0"/>
        <w:rPr>
          <w:rFonts w:cs="Arial"/>
        </w:rPr>
      </w:pPr>
      <w:r>
        <w:rPr>
          <w:rFonts w:cs="Arial"/>
        </w:rPr>
        <w:t>There are no adjustments to this section as part of this revised MTFS.</w:t>
      </w:r>
    </w:p>
    <w:p w14:paraId="4E54168D" w14:textId="77777777" w:rsidR="00346865" w:rsidRPr="00882976" w:rsidRDefault="00346865" w:rsidP="006B3273">
      <w:pPr>
        <w:tabs>
          <w:tab w:val="left" w:pos="567"/>
          <w:tab w:val="left" w:pos="1134"/>
        </w:tabs>
        <w:spacing w:after="0"/>
        <w:rPr>
          <w:rFonts w:cs="Arial"/>
        </w:rPr>
      </w:pPr>
    </w:p>
    <w:p w14:paraId="01E0946D" w14:textId="6962C2CD" w:rsidR="00B63BF2" w:rsidRPr="00882976" w:rsidRDefault="00A62F9A" w:rsidP="006B3273">
      <w:pPr>
        <w:tabs>
          <w:tab w:val="left" w:pos="567"/>
          <w:tab w:val="left" w:pos="1134"/>
        </w:tabs>
        <w:spacing w:after="0"/>
        <w:rPr>
          <w:rFonts w:cs="Arial"/>
          <w:b/>
        </w:rPr>
      </w:pPr>
      <w:r>
        <w:rPr>
          <w:rFonts w:cs="Arial"/>
          <w:b/>
        </w:rPr>
        <w:t>3.5</w:t>
      </w:r>
      <w:r w:rsidR="00B63BF2" w:rsidRPr="00882976">
        <w:rPr>
          <w:rFonts w:cs="Arial"/>
          <w:b/>
        </w:rPr>
        <w:t xml:space="preserve"> Ad</w:t>
      </w:r>
      <w:r w:rsidR="00E92B22" w:rsidRPr="00882976">
        <w:rPr>
          <w:rFonts w:cs="Arial"/>
          <w:b/>
        </w:rPr>
        <w:t>justments to</w:t>
      </w:r>
      <w:r w:rsidR="00B63BF2" w:rsidRPr="00882976">
        <w:rPr>
          <w:rFonts w:cs="Arial"/>
          <w:b/>
        </w:rPr>
        <w:t xml:space="preserve"> Savings</w:t>
      </w:r>
      <w:r w:rsidR="00E92B22" w:rsidRPr="00882976">
        <w:rPr>
          <w:rFonts w:cs="Arial"/>
          <w:b/>
        </w:rPr>
        <w:t xml:space="preserve"> Programme</w:t>
      </w:r>
    </w:p>
    <w:p w14:paraId="7D9B0704" w14:textId="77777777" w:rsidR="00757FB9" w:rsidRDefault="00757FB9" w:rsidP="008D5D96">
      <w:pPr>
        <w:tabs>
          <w:tab w:val="left" w:pos="567"/>
          <w:tab w:val="left" w:pos="1134"/>
        </w:tabs>
        <w:spacing w:after="0"/>
        <w:rPr>
          <w:rFonts w:cs="Arial"/>
          <w:b/>
          <w:highlight w:val="yellow"/>
        </w:rPr>
      </w:pPr>
    </w:p>
    <w:p w14:paraId="4EA6F999" w14:textId="7DC4E351" w:rsidR="00E92B22" w:rsidRDefault="009C3A54" w:rsidP="00906E4C">
      <w:pPr>
        <w:tabs>
          <w:tab w:val="left" w:pos="567"/>
          <w:tab w:val="left" w:pos="1134"/>
        </w:tabs>
        <w:spacing w:after="0"/>
        <w:rPr>
          <w:rFonts w:cs="Arial"/>
        </w:rPr>
      </w:pPr>
      <w:r>
        <w:rPr>
          <w:rFonts w:cs="Arial"/>
        </w:rPr>
        <w:t>The positive</w:t>
      </w:r>
      <w:r w:rsidR="001A18FA">
        <w:rPr>
          <w:rFonts w:cs="Arial"/>
        </w:rPr>
        <w:t xml:space="preserve"> adjustment </w:t>
      </w:r>
      <w:r>
        <w:rPr>
          <w:rFonts w:cs="Arial"/>
        </w:rPr>
        <w:t xml:space="preserve">relates </w:t>
      </w:r>
      <w:r w:rsidR="001A18FA">
        <w:rPr>
          <w:rFonts w:cs="Arial"/>
        </w:rPr>
        <w:t>to the planned savings in H</w:t>
      </w:r>
      <w:r w:rsidR="001A18FA" w:rsidRPr="001A18FA">
        <w:rPr>
          <w:rFonts w:cs="Arial"/>
        </w:rPr>
        <w:t>ighways</w:t>
      </w:r>
      <w:r w:rsidR="001A18FA">
        <w:rPr>
          <w:rFonts w:cs="Arial"/>
        </w:rPr>
        <w:t xml:space="preserve"> </w:t>
      </w:r>
      <w:r>
        <w:rPr>
          <w:rFonts w:cs="Arial"/>
        </w:rPr>
        <w:t xml:space="preserve">as a result of </w:t>
      </w:r>
      <w:r w:rsidR="006063FD">
        <w:rPr>
          <w:rFonts w:cs="Arial"/>
        </w:rPr>
        <w:t xml:space="preserve">a </w:t>
      </w:r>
      <w:r w:rsidR="006063FD" w:rsidRPr="001A18FA">
        <w:rPr>
          <w:rFonts w:cs="Arial"/>
        </w:rPr>
        <w:t>combination</w:t>
      </w:r>
      <w:r w:rsidR="001A18FA" w:rsidRPr="001A18FA">
        <w:rPr>
          <w:rFonts w:cs="Arial"/>
        </w:rPr>
        <w:t xml:space="preserve"> of extra savings identified from implementing the new Highways Asset Management System that will be in place by the start of 2017/18, and </w:t>
      </w:r>
      <w:r w:rsidR="001A18FA">
        <w:rPr>
          <w:rFonts w:cs="Arial"/>
        </w:rPr>
        <w:t>additional income that it is anticipated the service will receive</w:t>
      </w:r>
      <w:r w:rsidR="001A18FA" w:rsidRPr="001A18FA">
        <w:rPr>
          <w:rFonts w:cs="Arial"/>
        </w:rPr>
        <w:t xml:space="preserve"> for pre-application advice. </w:t>
      </w:r>
    </w:p>
    <w:p w14:paraId="2BC778E4" w14:textId="77777777" w:rsidR="00B756C8" w:rsidRPr="008759F7" w:rsidRDefault="00B756C8" w:rsidP="008759F7">
      <w:pPr>
        <w:tabs>
          <w:tab w:val="left" w:pos="567"/>
          <w:tab w:val="left" w:pos="1134"/>
        </w:tabs>
        <w:spacing w:after="0"/>
        <w:rPr>
          <w:rFonts w:cs="Arial"/>
        </w:rPr>
      </w:pPr>
    </w:p>
    <w:p w14:paraId="3F692960" w14:textId="77777777" w:rsidR="00194D1E" w:rsidRPr="00882976" w:rsidRDefault="004D3311" w:rsidP="008D5D96">
      <w:pPr>
        <w:tabs>
          <w:tab w:val="left" w:pos="567"/>
          <w:tab w:val="left" w:pos="1134"/>
        </w:tabs>
        <w:spacing w:after="0"/>
        <w:rPr>
          <w:rFonts w:cs="Arial"/>
          <w:b/>
        </w:rPr>
      </w:pPr>
      <w:r w:rsidRPr="00882976">
        <w:rPr>
          <w:rFonts w:cs="Arial"/>
          <w:b/>
        </w:rPr>
        <w:t>4</w:t>
      </w:r>
      <w:r w:rsidR="00EB3E0F" w:rsidRPr="00882976">
        <w:rPr>
          <w:rFonts w:cs="Arial"/>
          <w:b/>
        </w:rPr>
        <w:t>.</w:t>
      </w:r>
      <w:r w:rsidR="00EB3E0F" w:rsidRPr="00882976">
        <w:rPr>
          <w:rFonts w:cs="Arial"/>
          <w:b/>
        </w:rPr>
        <w:tab/>
        <w:t>Future Risks</w:t>
      </w:r>
      <w:r w:rsidR="00064B2E" w:rsidRPr="00882976">
        <w:rPr>
          <w:rFonts w:cs="Arial"/>
          <w:b/>
        </w:rPr>
        <w:t xml:space="preserve"> </w:t>
      </w:r>
    </w:p>
    <w:p w14:paraId="40652AB5" w14:textId="77777777" w:rsidR="000C0795" w:rsidRPr="00882976" w:rsidRDefault="000C0795" w:rsidP="008D5D96">
      <w:pPr>
        <w:tabs>
          <w:tab w:val="left" w:pos="567"/>
          <w:tab w:val="left" w:pos="1134"/>
        </w:tabs>
        <w:spacing w:after="0"/>
        <w:rPr>
          <w:rFonts w:cs="Arial"/>
          <w:b/>
        </w:rPr>
      </w:pPr>
    </w:p>
    <w:p w14:paraId="04242BA3" w14:textId="2FB9C5DD" w:rsidR="00194D1E" w:rsidRDefault="00E3540A" w:rsidP="00194D1E">
      <w:pPr>
        <w:tabs>
          <w:tab w:val="left" w:pos="567"/>
          <w:tab w:val="left" w:pos="1134"/>
        </w:tabs>
        <w:spacing w:after="0"/>
        <w:rPr>
          <w:rFonts w:cs="Arial"/>
        </w:rPr>
      </w:pPr>
      <w:r w:rsidRPr="00882976">
        <w:rPr>
          <w:rFonts w:cs="Arial"/>
        </w:rPr>
        <w:t>In addition to the economic uncertainty post-Brexit outlined earlier in the report, t</w:t>
      </w:r>
      <w:r w:rsidR="00194D1E" w:rsidRPr="00882976">
        <w:rPr>
          <w:rFonts w:cs="Arial"/>
        </w:rPr>
        <w:t xml:space="preserve">he following are key future risks, the full impact of which is not </w:t>
      </w:r>
      <w:r w:rsidR="00BD7FC9" w:rsidRPr="00882976">
        <w:rPr>
          <w:rFonts w:cs="Arial"/>
        </w:rPr>
        <w:t xml:space="preserve">yet </w:t>
      </w:r>
      <w:r w:rsidR="00194D1E" w:rsidRPr="00882976">
        <w:rPr>
          <w:rFonts w:cs="Arial"/>
        </w:rPr>
        <w:t>known at this stage:</w:t>
      </w:r>
    </w:p>
    <w:p w14:paraId="4DA4BD6F" w14:textId="77777777" w:rsidR="00FB7968" w:rsidRPr="00882976" w:rsidRDefault="00FB7968" w:rsidP="00194D1E">
      <w:pPr>
        <w:tabs>
          <w:tab w:val="left" w:pos="567"/>
          <w:tab w:val="left" w:pos="1134"/>
        </w:tabs>
        <w:spacing w:after="0"/>
        <w:rPr>
          <w:rFonts w:cs="Arial"/>
        </w:rPr>
      </w:pPr>
    </w:p>
    <w:p w14:paraId="5C103DB7" w14:textId="6BFD6A4F" w:rsidR="004C52A6" w:rsidRPr="00882976" w:rsidRDefault="004C52A6" w:rsidP="00194D1E">
      <w:pPr>
        <w:tabs>
          <w:tab w:val="left" w:pos="567"/>
          <w:tab w:val="left" w:pos="1134"/>
        </w:tabs>
        <w:spacing w:after="0"/>
        <w:rPr>
          <w:rFonts w:cs="Arial"/>
          <w:b/>
        </w:rPr>
      </w:pPr>
      <w:r w:rsidRPr="00882976">
        <w:rPr>
          <w:rFonts w:cs="Arial"/>
          <w:b/>
        </w:rPr>
        <w:t xml:space="preserve">4.1 </w:t>
      </w:r>
      <w:r w:rsidR="00FB7968" w:rsidRPr="00882976">
        <w:rPr>
          <w:rFonts w:cs="Arial"/>
          <w:b/>
        </w:rPr>
        <w:t>Agreed Savings Plans Delivery</w:t>
      </w:r>
    </w:p>
    <w:p w14:paraId="09F50FCD" w14:textId="77777777" w:rsidR="00B1743E" w:rsidRPr="00882976" w:rsidRDefault="00B1743E" w:rsidP="00B1743E">
      <w:pPr>
        <w:pStyle w:val="PlainText"/>
        <w:rPr>
          <w:rFonts w:ascii="Arial" w:hAnsi="Arial" w:cs="Arial"/>
          <w:sz w:val="24"/>
          <w:szCs w:val="24"/>
        </w:rPr>
      </w:pPr>
    </w:p>
    <w:p w14:paraId="04556D43" w14:textId="26BC55F6" w:rsidR="00B1743E" w:rsidRPr="00882976" w:rsidRDefault="00B1743E" w:rsidP="00B1743E">
      <w:pPr>
        <w:pStyle w:val="PlainText"/>
        <w:rPr>
          <w:rFonts w:ascii="Arial" w:hAnsi="Arial" w:cs="Arial"/>
          <w:sz w:val="24"/>
          <w:szCs w:val="24"/>
        </w:rPr>
      </w:pPr>
      <w:r w:rsidRPr="00882976">
        <w:rPr>
          <w:rFonts w:ascii="Arial" w:hAnsi="Arial" w:cs="Arial"/>
          <w:sz w:val="24"/>
          <w:szCs w:val="24"/>
        </w:rPr>
        <w:t>The scale of agreed savings is hugely significant given both the scale and areas covered, and there are inherent risks in their delivery</w:t>
      </w:r>
      <w:r w:rsidR="00274363">
        <w:rPr>
          <w:rFonts w:ascii="Arial" w:hAnsi="Arial" w:cs="Arial"/>
          <w:sz w:val="24"/>
          <w:szCs w:val="24"/>
        </w:rPr>
        <w:t xml:space="preserve"> (2016/17 – c£100m, 2017/18</w:t>
      </w:r>
      <w:r w:rsidR="006B5303">
        <w:rPr>
          <w:rFonts w:ascii="Arial" w:hAnsi="Arial" w:cs="Arial"/>
          <w:sz w:val="24"/>
          <w:szCs w:val="24"/>
        </w:rPr>
        <w:t xml:space="preserve"> – 2020/21</w:t>
      </w:r>
      <w:r w:rsidR="00274363">
        <w:rPr>
          <w:rFonts w:ascii="Arial" w:hAnsi="Arial" w:cs="Arial"/>
          <w:sz w:val="24"/>
          <w:szCs w:val="24"/>
        </w:rPr>
        <w:t xml:space="preserve"> c£54m)</w:t>
      </w:r>
      <w:r w:rsidRPr="00882976">
        <w:rPr>
          <w:rFonts w:ascii="Arial" w:hAnsi="Arial" w:cs="Arial"/>
          <w:sz w:val="24"/>
          <w:szCs w:val="24"/>
        </w:rPr>
        <w:t>.  Any significant under-delivery of agreed savings will create an additional funding gap and impact on the ongoing and longer-term financial health of the Council.  This has been identified as one of the highest level risks in the Risk and Opportunity Register.  There are comprehensive arrangements in place to track delivery of financial savings and take corrective actions where required.</w:t>
      </w:r>
    </w:p>
    <w:p w14:paraId="00A72596" w14:textId="77777777" w:rsidR="00FB7968" w:rsidRDefault="00FB7968" w:rsidP="00194D1E">
      <w:pPr>
        <w:tabs>
          <w:tab w:val="left" w:pos="567"/>
          <w:tab w:val="left" w:pos="1134"/>
        </w:tabs>
        <w:spacing w:after="0"/>
        <w:rPr>
          <w:rFonts w:cs="Arial"/>
        </w:rPr>
      </w:pPr>
    </w:p>
    <w:p w14:paraId="223A8673" w14:textId="77777777" w:rsidR="006B5303" w:rsidRDefault="006B5303" w:rsidP="00194D1E">
      <w:pPr>
        <w:tabs>
          <w:tab w:val="left" w:pos="567"/>
          <w:tab w:val="left" w:pos="1134"/>
        </w:tabs>
        <w:spacing w:after="0"/>
        <w:rPr>
          <w:rFonts w:cs="Arial"/>
        </w:rPr>
      </w:pPr>
    </w:p>
    <w:p w14:paraId="3A44B994" w14:textId="77777777" w:rsidR="006B5303" w:rsidRDefault="006B5303" w:rsidP="00194D1E">
      <w:pPr>
        <w:tabs>
          <w:tab w:val="left" w:pos="567"/>
          <w:tab w:val="left" w:pos="1134"/>
        </w:tabs>
        <w:spacing w:after="0"/>
        <w:rPr>
          <w:rFonts w:cs="Arial"/>
        </w:rPr>
      </w:pPr>
    </w:p>
    <w:p w14:paraId="79902766" w14:textId="77777777" w:rsidR="006B5303" w:rsidRDefault="006B5303" w:rsidP="00194D1E">
      <w:pPr>
        <w:tabs>
          <w:tab w:val="left" w:pos="567"/>
          <w:tab w:val="left" w:pos="1134"/>
        </w:tabs>
        <w:spacing w:after="0"/>
        <w:rPr>
          <w:rFonts w:cs="Arial"/>
        </w:rPr>
      </w:pPr>
    </w:p>
    <w:p w14:paraId="2A445C95" w14:textId="77BEB91D" w:rsidR="006B5303" w:rsidRPr="00882976" w:rsidRDefault="006B5303" w:rsidP="00194D1E">
      <w:pPr>
        <w:tabs>
          <w:tab w:val="left" w:pos="567"/>
          <w:tab w:val="left" w:pos="1134"/>
        </w:tabs>
        <w:spacing w:after="0"/>
        <w:rPr>
          <w:rFonts w:cs="Arial"/>
        </w:rPr>
      </w:pPr>
    </w:p>
    <w:p w14:paraId="2759A1AB" w14:textId="37D8E858" w:rsidR="00FB7968" w:rsidRPr="00882976" w:rsidRDefault="004C52A6" w:rsidP="00194D1E">
      <w:pPr>
        <w:tabs>
          <w:tab w:val="left" w:pos="567"/>
          <w:tab w:val="left" w:pos="1134"/>
        </w:tabs>
        <w:spacing w:after="0"/>
        <w:rPr>
          <w:rFonts w:cs="Arial"/>
          <w:b/>
        </w:rPr>
      </w:pPr>
      <w:r w:rsidRPr="00882976">
        <w:rPr>
          <w:rFonts w:cs="Arial"/>
          <w:b/>
        </w:rPr>
        <w:lastRenderedPageBreak/>
        <w:t xml:space="preserve">4.2 </w:t>
      </w:r>
      <w:r w:rsidR="00FB7968" w:rsidRPr="00882976">
        <w:rPr>
          <w:rFonts w:cs="Arial"/>
          <w:b/>
        </w:rPr>
        <w:t>Identification of Further Savings Opportunities</w:t>
      </w:r>
    </w:p>
    <w:p w14:paraId="349BDD1D" w14:textId="77777777" w:rsidR="00FB7968" w:rsidRPr="00882976" w:rsidRDefault="00FB7968" w:rsidP="00194D1E">
      <w:pPr>
        <w:tabs>
          <w:tab w:val="left" w:pos="567"/>
          <w:tab w:val="left" w:pos="1134"/>
        </w:tabs>
        <w:spacing w:after="0"/>
        <w:rPr>
          <w:rFonts w:cs="Arial"/>
        </w:rPr>
      </w:pPr>
    </w:p>
    <w:p w14:paraId="4F9A429F" w14:textId="3D30CE75" w:rsidR="00B1743E" w:rsidRPr="00882976" w:rsidRDefault="00B1743E" w:rsidP="00B1743E">
      <w:pPr>
        <w:tabs>
          <w:tab w:val="left" w:pos="567"/>
          <w:tab w:val="left" w:pos="1134"/>
        </w:tabs>
        <w:spacing w:after="0"/>
        <w:rPr>
          <w:rFonts w:cs="Arial"/>
        </w:rPr>
      </w:pPr>
      <w:r w:rsidRPr="00882976">
        <w:rPr>
          <w:rFonts w:cs="Arial"/>
        </w:rPr>
        <w:t xml:space="preserve">Cabinet has </w:t>
      </w:r>
      <w:r w:rsidR="00777022" w:rsidRPr="00882976">
        <w:rPr>
          <w:rFonts w:cs="Arial"/>
        </w:rPr>
        <w:t xml:space="preserve">previously </w:t>
      </w:r>
      <w:r w:rsidRPr="00882976">
        <w:rPr>
          <w:rFonts w:cs="Arial"/>
        </w:rPr>
        <w:t>agreed a financial strategy based on:</w:t>
      </w:r>
    </w:p>
    <w:p w14:paraId="08AF69BF" w14:textId="77777777" w:rsidR="00B1743E" w:rsidRPr="00882976" w:rsidRDefault="00B1743E" w:rsidP="00B1743E">
      <w:pPr>
        <w:tabs>
          <w:tab w:val="left" w:pos="567"/>
          <w:tab w:val="left" w:pos="1134"/>
        </w:tabs>
        <w:spacing w:after="0"/>
        <w:rPr>
          <w:rFonts w:cs="Arial"/>
        </w:rPr>
      </w:pPr>
    </w:p>
    <w:p w14:paraId="538DEE0E" w14:textId="62A5AB74" w:rsidR="00B1743E" w:rsidRPr="00882976" w:rsidRDefault="00B1743E" w:rsidP="00882976">
      <w:pPr>
        <w:pStyle w:val="ListParagraph"/>
        <w:numPr>
          <w:ilvl w:val="0"/>
          <w:numId w:val="30"/>
        </w:numPr>
        <w:tabs>
          <w:tab w:val="left" w:pos="567"/>
          <w:tab w:val="left" w:pos="1134"/>
        </w:tabs>
        <w:spacing w:after="0"/>
        <w:ind w:left="567"/>
        <w:rPr>
          <w:rFonts w:cs="Arial"/>
        </w:rPr>
      </w:pPr>
      <w:r w:rsidRPr="00882976">
        <w:rPr>
          <w:rFonts w:cs="Arial"/>
        </w:rPr>
        <w:t>Setting an expenditure target for service expenditure levels to move in line with the lower quartile of the most appropriate group of local authorities for individual services.</w:t>
      </w:r>
    </w:p>
    <w:p w14:paraId="4C786761" w14:textId="77777777" w:rsidR="00B1743E" w:rsidRPr="00882976" w:rsidRDefault="00B1743E" w:rsidP="00B1743E">
      <w:pPr>
        <w:pStyle w:val="ListParagraph"/>
        <w:tabs>
          <w:tab w:val="left" w:pos="567"/>
          <w:tab w:val="left" w:pos="1134"/>
        </w:tabs>
        <w:spacing w:after="0"/>
        <w:rPr>
          <w:rFonts w:cs="Arial"/>
        </w:rPr>
      </w:pPr>
    </w:p>
    <w:p w14:paraId="00578A92" w14:textId="2AF9814C" w:rsidR="00B1743E" w:rsidRPr="00882976" w:rsidRDefault="00B1743E" w:rsidP="00882976">
      <w:pPr>
        <w:pStyle w:val="ListParagraph"/>
        <w:numPr>
          <w:ilvl w:val="0"/>
          <w:numId w:val="30"/>
        </w:numPr>
        <w:tabs>
          <w:tab w:val="left" w:pos="567"/>
          <w:tab w:val="left" w:pos="1134"/>
        </w:tabs>
        <w:spacing w:after="0"/>
        <w:ind w:left="567"/>
        <w:rPr>
          <w:rFonts w:cs="Arial"/>
        </w:rPr>
      </w:pPr>
      <w:r w:rsidRPr="00882976">
        <w:rPr>
          <w:rFonts w:cs="Arial"/>
        </w:rPr>
        <w:t xml:space="preserve">Stage 3 of the base budget review being the zero base with a fundamental review of all expenditure within services to ensure the best value for money.  </w:t>
      </w:r>
      <w:r w:rsidR="00777022" w:rsidRPr="00882976">
        <w:rPr>
          <w:rFonts w:cs="Arial"/>
        </w:rPr>
        <w:t>The outcome of this w</w:t>
      </w:r>
      <w:r w:rsidRPr="00882976">
        <w:rPr>
          <w:rFonts w:cs="Arial"/>
        </w:rPr>
        <w:t xml:space="preserve">ork </w:t>
      </w:r>
      <w:r w:rsidR="00B16B94">
        <w:rPr>
          <w:rFonts w:cs="Arial"/>
        </w:rPr>
        <w:t>was presented a</w:t>
      </w:r>
      <w:r w:rsidR="00777022" w:rsidRPr="00882976">
        <w:rPr>
          <w:rFonts w:cs="Arial"/>
        </w:rPr>
        <w:t xml:space="preserve">s </w:t>
      </w:r>
      <w:r w:rsidR="00B16B94">
        <w:rPr>
          <w:rFonts w:cs="Arial"/>
        </w:rPr>
        <w:t>part of the Money Matters</w:t>
      </w:r>
      <w:r w:rsidR="00777022" w:rsidRPr="00882976">
        <w:rPr>
          <w:rFonts w:cs="Arial"/>
        </w:rPr>
        <w:t xml:space="preserve"> report</w:t>
      </w:r>
      <w:r w:rsidR="00B16B94">
        <w:rPr>
          <w:rFonts w:cs="Arial"/>
        </w:rPr>
        <w:t>s at the December Cabinet with the impact included within the MTFS</w:t>
      </w:r>
      <w:r w:rsidR="00777022" w:rsidRPr="00882976">
        <w:rPr>
          <w:rFonts w:cs="Arial"/>
        </w:rPr>
        <w:t xml:space="preserve">.  </w:t>
      </w:r>
    </w:p>
    <w:p w14:paraId="5F506CC2" w14:textId="77777777" w:rsidR="00777022" w:rsidRPr="00882976" w:rsidRDefault="00777022" w:rsidP="00777022">
      <w:pPr>
        <w:pStyle w:val="ListParagraph"/>
        <w:rPr>
          <w:rFonts w:cs="Arial"/>
        </w:rPr>
      </w:pPr>
    </w:p>
    <w:p w14:paraId="19DDAD10" w14:textId="0A573689" w:rsidR="00B1743E" w:rsidRPr="00882976" w:rsidRDefault="00777022" w:rsidP="00882976">
      <w:pPr>
        <w:pStyle w:val="ListParagraph"/>
        <w:numPr>
          <w:ilvl w:val="0"/>
          <w:numId w:val="30"/>
        </w:numPr>
        <w:tabs>
          <w:tab w:val="left" w:pos="567"/>
          <w:tab w:val="left" w:pos="1134"/>
        </w:tabs>
        <w:spacing w:after="0"/>
        <w:ind w:left="567"/>
        <w:rPr>
          <w:rFonts w:cs="Arial"/>
        </w:rPr>
      </w:pPr>
      <w:r w:rsidRPr="00882976">
        <w:rPr>
          <w:rFonts w:cs="Arial"/>
        </w:rPr>
        <w:t>PwC are a</w:t>
      </w:r>
      <w:r w:rsidR="00B1743E" w:rsidRPr="00882976">
        <w:rPr>
          <w:rFonts w:cs="Arial"/>
        </w:rPr>
        <w:t>ssist</w:t>
      </w:r>
      <w:r w:rsidRPr="00882976">
        <w:rPr>
          <w:rFonts w:cs="Arial"/>
        </w:rPr>
        <w:t>ing</w:t>
      </w:r>
      <w:r w:rsidR="00B1743E" w:rsidRPr="00882976">
        <w:rPr>
          <w:rFonts w:cs="Arial"/>
        </w:rPr>
        <w:t xml:space="preserve"> the council in scoping and undertaking </w:t>
      </w:r>
      <w:r w:rsidR="00622899" w:rsidRPr="00882976">
        <w:rPr>
          <w:rFonts w:cs="Arial"/>
        </w:rPr>
        <w:t xml:space="preserve">the review prioritising </w:t>
      </w:r>
      <w:r w:rsidR="00B1743E" w:rsidRPr="00882976">
        <w:rPr>
          <w:rFonts w:cs="Arial"/>
        </w:rPr>
        <w:t xml:space="preserve">development of a public services operating </w:t>
      </w:r>
      <w:r w:rsidR="00622899" w:rsidRPr="00882976">
        <w:rPr>
          <w:rFonts w:cs="Arial"/>
        </w:rPr>
        <w:t>strategy</w:t>
      </w:r>
      <w:r w:rsidR="00B1743E" w:rsidRPr="00882976">
        <w:rPr>
          <w:rFonts w:cs="Arial"/>
        </w:rPr>
        <w:t xml:space="preserve"> for the County Council to enable it to be sustainable within its forecast financial resource envelope by 2020/21.</w:t>
      </w:r>
      <w:r w:rsidRPr="00882976">
        <w:rPr>
          <w:rFonts w:cs="Arial"/>
        </w:rPr>
        <w:t xml:space="preserve">  This is ongoing with the outcomes from this work to be presented at </w:t>
      </w:r>
      <w:r w:rsidR="001A18FA">
        <w:rPr>
          <w:rFonts w:cs="Arial"/>
        </w:rPr>
        <w:t>the same Cabinet meeting as this report</w:t>
      </w:r>
      <w:r w:rsidR="00B16B94">
        <w:rPr>
          <w:rFonts w:cs="Arial"/>
        </w:rPr>
        <w:t>. Whilst the Lancashire Public Service Deliver Model Business Case produced by PwC includes a level of estimated financial benefits along with requirement for transitional funding, at this stage it remains a proposal to go out to consultation with key partners and stakeholders and has not therefore been factored into any of the MTFS assumptions.</w:t>
      </w:r>
    </w:p>
    <w:p w14:paraId="4C1CF66C" w14:textId="77777777" w:rsidR="00B1743E" w:rsidRPr="00882976" w:rsidRDefault="00B1743E" w:rsidP="00B1743E">
      <w:pPr>
        <w:pStyle w:val="ListParagraph"/>
        <w:rPr>
          <w:rFonts w:cs="Arial"/>
        </w:rPr>
      </w:pPr>
    </w:p>
    <w:p w14:paraId="659D37D7" w14:textId="34778065" w:rsidR="00622899" w:rsidRPr="00882976" w:rsidRDefault="00B1743E" w:rsidP="00882976">
      <w:pPr>
        <w:pStyle w:val="ListParagraph"/>
        <w:numPr>
          <w:ilvl w:val="0"/>
          <w:numId w:val="30"/>
        </w:numPr>
        <w:tabs>
          <w:tab w:val="left" w:pos="567"/>
          <w:tab w:val="left" w:pos="1134"/>
        </w:tabs>
        <w:spacing w:after="0"/>
        <w:ind w:left="567"/>
        <w:rPr>
          <w:rFonts w:cs="Arial"/>
        </w:rPr>
      </w:pPr>
      <w:r w:rsidRPr="00882976">
        <w:rPr>
          <w:rFonts w:cs="Arial"/>
        </w:rPr>
        <w:t>Transformational work across Adult Social Care aimed at both improving systems and processes and delivering sign</w:t>
      </w:r>
      <w:r w:rsidR="00777022" w:rsidRPr="00882976">
        <w:rPr>
          <w:rFonts w:cs="Arial"/>
        </w:rPr>
        <w:t>ificant financial savings.  T</w:t>
      </w:r>
      <w:r w:rsidRPr="00882976">
        <w:rPr>
          <w:rFonts w:cs="Arial"/>
        </w:rPr>
        <w:t>he overall scale and phasing of benefits from the review</w:t>
      </w:r>
      <w:r w:rsidR="00777022" w:rsidRPr="00882976">
        <w:rPr>
          <w:rFonts w:cs="Arial"/>
        </w:rPr>
        <w:t xml:space="preserve"> has now been finalised and included in the revised position within this report.</w:t>
      </w:r>
    </w:p>
    <w:p w14:paraId="7EDE8680" w14:textId="77777777" w:rsidR="00346865" w:rsidRPr="00882976" w:rsidRDefault="00346865" w:rsidP="00B1743E">
      <w:pPr>
        <w:tabs>
          <w:tab w:val="left" w:pos="567"/>
          <w:tab w:val="left" w:pos="1134"/>
        </w:tabs>
        <w:spacing w:after="0"/>
        <w:rPr>
          <w:rFonts w:cs="Arial"/>
        </w:rPr>
      </w:pPr>
    </w:p>
    <w:p w14:paraId="3DFB99E4" w14:textId="17563FAE" w:rsidR="00FB7968" w:rsidRPr="00882976" w:rsidRDefault="004C52A6" w:rsidP="00194D1E">
      <w:pPr>
        <w:tabs>
          <w:tab w:val="left" w:pos="567"/>
          <w:tab w:val="left" w:pos="1134"/>
        </w:tabs>
        <w:spacing w:after="0"/>
        <w:rPr>
          <w:rFonts w:cs="Arial"/>
          <w:b/>
        </w:rPr>
      </w:pPr>
      <w:r w:rsidRPr="00882976">
        <w:rPr>
          <w:rFonts w:cs="Arial"/>
          <w:b/>
        </w:rPr>
        <w:t xml:space="preserve">4.3 </w:t>
      </w:r>
      <w:r w:rsidR="00FB7968" w:rsidRPr="00882976">
        <w:rPr>
          <w:rFonts w:cs="Arial"/>
          <w:b/>
        </w:rPr>
        <w:t xml:space="preserve">Business Rates Retention / Changes to </w:t>
      </w:r>
      <w:r w:rsidR="00E3540A" w:rsidRPr="00882976">
        <w:rPr>
          <w:rFonts w:cs="Arial"/>
          <w:b/>
        </w:rPr>
        <w:t>Funding Formula</w:t>
      </w:r>
    </w:p>
    <w:p w14:paraId="043A4B32" w14:textId="77777777" w:rsidR="00B1743E" w:rsidRPr="00882976" w:rsidRDefault="00B1743E" w:rsidP="00194D1E">
      <w:pPr>
        <w:tabs>
          <w:tab w:val="left" w:pos="567"/>
          <w:tab w:val="left" w:pos="1134"/>
        </w:tabs>
        <w:spacing w:after="0"/>
        <w:rPr>
          <w:rFonts w:cs="Arial"/>
          <w:b/>
        </w:rPr>
      </w:pPr>
    </w:p>
    <w:p w14:paraId="59800F16" w14:textId="01F6136C" w:rsidR="00777022" w:rsidRPr="00882976" w:rsidRDefault="00B1743E" w:rsidP="00B1743E">
      <w:pPr>
        <w:tabs>
          <w:tab w:val="left" w:pos="567"/>
          <w:tab w:val="left" w:pos="1134"/>
        </w:tabs>
        <w:spacing w:after="0"/>
        <w:rPr>
          <w:rFonts w:cs="Arial"/>
        </w:rPr>
      </w:pPr>
      <w:r w:rsidRPr="00882976">
        <w:rPr>
          <w:rFonts w:cs="Arial"/>
        </w:rPr>
        <w:t>In 2015 the Chancellor announced that local government as a whole would be able to keep 100% of business rates by 2020.  Using Office for Budget Responsibility (OBR) forecasts the Government has estimated that additional business rates kept by councils will be c£13bn by 2020/21 with the intention to transfer new responsibilities to local government to ensure cost neutrality overall of the funding changes.  There is currently a system of redistribution (top-ups and tariffs) to reflect there are councils with relatively higher needs but lower income from business rates and vice versa.  The Secretary of State for Communities and Local Government has also announced a full review of needs and redistribution which will be use</w:t>
      </w:r>
      <w:r w:rsidR="00A86ACD">
        <w:rPr>
          <w:rFonts w:cs="Arial"/>
        </w:rPr>
        <w:t>d</w:t>
      </w:r>
      <w:r w:rsidRPr="00882976">
        <w:rPr>
          <w:rFonts w:cs="Arial"/>
        </w:rPr>
        <w:t xml:space="preserve"> as the starting point for the new system when it comes into force.  </w:t>
      </w:r>
    </w:p>
    <w:p w14:paraId="58D90185" w14:textId="77777777" w:rsidR="00777022" w:rsidRPr="00882976" w:rsidRDefault="00777022" w:rsidP="00B1743E">
      <w:pPr>
        <w:tabs>
          <w:tab w:val="left" w:pos="567"/>
          <w:tab w:val="left" w:pos="1134"/>
        </w:tabs>
        <w:spacing w:after="0"/>
        <w:rPr>
          <w:rFonts w:cs="Arial"/>
        </w:rPr>
      </w:pPr>
    </w:p>
    <w:p w14:paraId="31786727" w14:textId="6D9E1F9A" w:rsidR="00B1743E" w:rsidRPr="00882976" w:rsidRDefault="00B1743E" w:rsidP="00B1743E">
      <w:pPr>
        <w:tabs>
          <w:tab w:val="left" w:pos="567"/>
          <w:tab w:val="left" w:pos="1134"/>
        </w:tabs>
        <w:spacing w:after="0"/>
        <w:rPr>
          <w:rFonts w:cs="Arial"/>
        </w:rPr>
      </w:pPr>
      <w:r w:rsidRPr="00882976">
        <w:rPr>
          <w:rFonts w:cs="Arial"/>
        </w:rPr>
        <w:t xml:space="preserve">The County Council currently receives a top-up grant, primarily as a result of having Adult Social Care responsibilities, and there is insufficient information currently, although work is progressing nationally with a </w:t>
      </w:r>
      <w:r w:rsidR="00777022" w:rsidRPr="00882976">
        <w:rPr>
          <w:rFonts w:cs="Arial"/>
        </w:rPr>
        <w:t xml:space="preserve">number of complete and planned </w:t>
      </w:r>
      <w:r w:rsidRPr="00882976">
        <w:rPr>
          <w:rFonts w:cs="Arial"/>
        </w:rPr>
        <w:t>consultation</w:t>
      </w:r>
      <w:r w:rsidR="00777022" w:rsidRPr="00882976">
        <w:rPr>
          <w:rFonts w:cs="Arial"/>
        </w:rPr>
        <w:t>s</w:t>
      </w:r>
      <w:r w:rsidRPr="00882976">
        <w:rPr>
          <w:rFonts w:cs="Arial"/>
        </w:rPr>
        <w:t xml:space="preserve"> regarding the changes</w:t>
      </w:r>
      <w:r w:rsidR="00777022" w:rsidRPr="00882976">
        <w:rPr>
          <w:rFonts w:cs="Arial"/>
        </w:rPr>
        <w:t xml:space="preserve">, </w:t>
      </w:r>
      <w:r w:rsidRPr="00882976">
        <w:rPr>
          <w:rFonts w:cs="Arial"/>
        </w:rPr>
        <w:t>to model what the financial impact of the changes will be and the financial impact on the County Council.</w:t>
      </w:r>
    </w:p>
    <w:p w14:paraId="1B59E046" w14:textId="77777777" w:rsidR="008759F7" w:rsidRDefault="008759F7" w:rsidP="00194D1E">
      <w:pPr>
        <w:tabs>
          <w:tab w:val="left" w:pos="567"/>
          <w:tab w:val="left" w:pos="1134"/>
        </w:tabs>
        <w:spacing w:after="0"/>
        <w:rPr>
          <w:rFonts w:cs="Arial"/>
          <w:highlight w:val="yellow"/>
        </w:rPr>
      </w:pPr>
    </w:p>
    <w:p w14:paraId="6AD07AB4" w14:textId="77777777" w:rsidR="006B5303" w:rsidRDefault="006B5303" w:rsidP="00194D1E">
      <w:pPr>
        <w:tabs>
          <w:tab w:val="left" w:pos="567"/>
          <w:tab w:val="left" w:pos="1134"/>
        </w:tabs>
        <w:spacing w:after="0"/>
        <w:rPr>
          <w:rFonts w:cs="Arial"/>
          <w:highlight w:val="yellow"/>
        </w:rPr>
      </w:pPr>
    </w:p>
    <w:p w14:paraId="5B003E41" w14:textId="77777777" w:rsidR="006B5303" w:rsidRDefault="006B5303" w:rsidP="00194D1E">
      <w:pPr>
        <w:tabs>
          <w:tab w:val="left" w:pos="567"/>
          <w:tab w:val="left" w:pos="1134"/>
        </w:tabs>
        <w:spacing w:after="0"/>
        <w:rPr>
          <w:rFonts w:cs="Arial"/>
          <w:highlight w:val="yellow"/>
        </w:rPr>
      </w:pPr>
    </w:p>
    <w:p w14:paraId="33612EFD" w14:textId="77777777" w:rsidR="006B5303" w:rsidRPr="00882976" w:rsidRDefault="006B5303" w:rsidP="00194D1E">
      <w:pPr>
        <w:tabs>
          <w:tab w:val="left" w:pos="567"/>
          <w:tab w:val="left" w:pos="1134"/>
        </w:tabs>
        <w:spacing w:after="0"/>
        <w:rPr>
          <w:rFonts w:cs="Arial"/>
          <w:highlight w:val="yellow"/>
        </w:rPr>
      </w:pPr>
    </w:p>
    <w:p w14:paraId="0AD43E59" w14:textId="62D5A32B" w:rsidR="00E3540A" w:rsidRPr="00882976" w:rsidRDefault="004C52A6" w:rsidP="00194D1E">
      <w:pPr>
        <w:tabs>
          <w:tab w:val="left" w:pos="567"/>
          <w:tab w:val="left" w:pos="1134"/>
        </w:tabs>
        <w:spacing w:after="0"/>
        <w:rPr>
          <w:rFonts w:cs="Arial"/>
          <w:b/>
        </w:rPr>
      </w:pPr>
      <w:r w:rsidRPr="00882976">
        <w:rPr>
          <w:rFonts w:cs="Arial"/>
          <w:b/>
        </w:rPr>
        <w:lastRenderedPageBreak/>
        <w:t xml:space="preserve">4.4 </w:t>
      </w:r>
      <w:r w:rsidR="00E3540A" w:rsidRPr="00882976">
        <w:rPr>
          <w:rFonts w:cs="Arial"/>
          <w:b/>
        </w:rPr>
        <w:t>STP</w:t>
      </w:r>
    </w:p>
    <w:p w14:paraId="27DC5019" w14:textId="77777777" w:rsidR="00FB7968" w:rsidRPr="00882976" w:rsidRDefault="00FB7968" w:rsidP="00194D1E">
      <w:pPr>
        <w:tabs>
          <w:tab w:val="left" w:pos="567"/>
          <w:tab w:val="left" w:pos="1134"/>
        </w:tabs>
        <w:spacing w:after="0"/>
        <w:rPr>
          <w:rFonts w:cs="Arial"/>
        </w:rPr>
      </w:pPr>
    </w:p>
    <w:p w14:paraId="4CE36E62" w14:textId="2BD36BBC" w:rsidR="00B1743E" w:rsidRPr="00882976" w:rsidRDefault="00B1743E" w:rsidP="00B1743E">
      <w:pPr>
        <w:tabs>
          <w:tab w:val="left" w:pos="567"/>
          <w:tab w:val="left" w:pos="1134"/>
        </w:tabs>
        <w:spacing w:after="0"/>
        <w:rPr>
          <w:rFonts w:cs="Arial"/>
        </w:rPr>
      </w:pPr>
      <w:r w:rsidRPr="00882976">
        <w:rPr>
          <w:rFonts w:cs="Arial"/>
        </w:rPr>
        <w:t>Since 2015 the County Council has been a partner organisation in the Bette</w:t>
      </w:r>
      <w:r w:rsidR="00A844AF" w:rsidRPr="00882976">
        <w:rPr>
          <w:rFonts w:cs="Arial"/>
        </w:rPr>
        <w:t>r Care Fund planning and pooled budget</w:t>
      </w:r>
      <w:r w:rsidRPr="00882976">
        <w:rPr>
          <w:rFonts w:cs="Arial"/>
        </w:rPr>
        <w:t xml:space="preserve"> arrangements with Clinical Commissioning Groups (CCG's).  Building on this is the requirement for every part of the NHS to have a locally led Sustainability and Transformation Plan (STP) in place by 2017.  This is within the context of the substantial financial challenges for the health and social care system in Lancashire and will necessarily involve the development of new delivery models and ways of working to minimise the impact of funding reductions and provide a better offer for patients and service users.</w:t>
      </w:r>
    </w:p>
    <w:p w14:paraId="53A8A0EB" w14:textId="77777777" w:rsidR="00C64265" w:rsidRPr="00882976" w:rsidRDefault="00C64265" w:rsidP="00B1743E">
      <w:pPr>
        <w:tabs>
          <w:tab w:val="left" w:pos="567"/>
          <w:tab w:val="left" w:pos="1134"/>
        </w:tabs>
        <w:spacing w:after="0"/>
        <w:rPr>
          <w:rFonts w:cs="Arial"/>
        </w:rPr>
      </w:pPr>
    </w:p>
    <w:p w14:paraId="073230C4" w14:textId="3A3592EE" w:rsidR="00C64265" w:rsidRPr="00882976" w:rsidRDefault="00C64265" w:rsidP="00B1743E">
      <w:pPr>
        <w:tabs>
          <w:tab w:val="left" w:pos="567"/>
          <w:tab w:val="left" w:pos="1134"/>
        </w:tabs>
        <w:spacing w:after="0"/>
        <w:rPr>
          <w:rFonts w:cs="Arial"/>
          <w:b/>
        </w:rPr>
      </w:pPr>
      <w:r w:rsidRPr="00882976">
        <w:rPr>
          <w:rFonts w:cs="Arial"/>
          <w:b/>
        </w:rPr>
        <w:t>4.5 Children's Social Care</w:t>
      </w:r>
    </w:p>
    <w:p w14:paraId="2B857711" w14:textId="77777777" w:rsidR="00C64265" w:rsidRPr="00882976" w:rsidRDefault="00C64265" w:rsidP="00B1743E">
      <w:pPr>
        <w:tabs>
          <w:tab w:val="left" w:pos="567"/>
          <w:tab w:val="left" w:pos="1134"/>
        </w:tabs>
        <w:spacing w:after="0"/>
        <w:rPr>
          <w:rFonts w:cs="Arial"/>
          <w:b/>
        </w:rPr>
      </w:pPr>
    </w:p>
    <w:p w14:paraId="34528070" w14:textId="4C82C22C" w:rsidR="00C64265" w:rsidRPr="00882976" w:rsidRDefault="00C64265" w:rsidP="00B1743E">
      <w:pPr>
        <w:tabs>
          <w:tab w:val="left" w:pos="567"/>
          <w:tab w:val="left" w:pos="1134"/>
        </w:tabs>
        <w:spacing w:after="0"/>
        <w:rPr>
          <w:rFonts w:cs="Arial"/>
        </w:rPr>
      </w:pPr>
      <w:r w:rsidRPr="00882976">
        <w:rPr>
          <w:rFonts w:cs="Arial"/>
        </w:rPr>
        <w:t xml:space="preserve">Children's Social Care is currently reporting </w:t>
      </w:r>
      <w:proofErr w:type="gramStart"/>
      <w:r w:rsidRPr="00882976">
        <w:rPr>
          <w:rFonts w:cs="Arial"/>
        </w:rPr>
        <w:t>an overspend</w:t>
      </w:r>
      <w:proofErr w:type="gramEnd"/>
      <w:r w:rsidRPr="00882976">
        <w:rPr>
          <w:rFonts w:cs="Arial"/>
        </w:rPr>
        <w:t xml:space="preserve"> of £1</w:t>
      </w:r>
      <w:r w:rsidR="008759F7">
        <w:rPr>
          <w:rFonts w:cs="Arial"/>
        </w:rPr>
        <w:t>9.706</w:t>
      </w:r>
      <w:r w:rsidRPr="00882976">
        <w:rPr>
          <w:rFonts w:cs="Arial"/>
        </w:rPr>
        <w:t xml:space="preserve">m with demand levels continuing to increase, particularly within agency residential placements. The establishment of the 0-25 Programme Board in addition to a supporting Finance Sub Group are critical in analysing the current and future levels of demand and working to develop demand management across the service. However if demand levels are not controlled then there will be substantial additional costs to the County Council that are not currently reflected within this MTFS. </w:t>
      </w:r>
    </w:p>
    <w:p w14:paraId="6754B6C6" w14:textId="77777777" w:rsidR="000822AF" w:rsidRPr="00882976" w:rsidRDefault="000822AF" w:rsidP="00B1743E">
      <w:pPr>
        <w:tabs>
          <w:tab w:val="left" w:pos="567"/>
          <w:tab w:val="left" w:pos="1134"/>
        </w:tabs>
        <w:spacing w:after="0"/>
        <w:rPr>
          <w:rFonts w:cs="Arial"/>
        </w:rPr>
      </w:pPr>
    </w:p>
    <w:p w14:paraId="1FB889F7" w14:textId="3C564C65" w:rsidR="000822AF" w:rsidRPr="00882976" w:rsidRDefault="000822AF" w:rsidP="00B1743E">
      <w:pPr>
        <w:tabs>
          <w:tab w:val="left" w:pos="567"/>
          <w:tab w:val="left" w:pos="1134"/>
        </w:tabs>
        <w:spacing w:after="0"/>
        <w:rPr>
          <w:rFonts w:cs="Arial"/>
          <w:b/>
        </w:rPr>
      </w:pPr>
      <w:r w:rsidRPr="00882976">
        <w:rPr>
          <w:rFonts w:cs="Arial"/>
          <w:b/>
        </w:rPr>
        <w:t xml:space="preserve">4.6 Procurement </w:t>
      </w:r>
    </w:p>
    <w:p w14:paraId="55BDA44B" w14:textId="77777777" w:rsidR="000822AF" w:rsidRPr="00882976" w:rsidRDefault="000822AF" w:rsidP="00B1743E">
      <w:pPr>
        <w:tabs>
          <w:tab w:val="left" w:pos="567"/>
          <w:tab w:val="left" w:pos="1134"/>
        </w:tabs>
        <w:spacing w:after="0"/>
        <w:rPr>
          <w:rFonts w:cs="Arial"/>
        </w:rPr>
      </w:pPr>
    </w:p>
    <w:p w14:paraId="13638DD9" w14:textId="10F396E1" w:rsidR="00B1743E" w:rsidRPr="00882976" w:rsidRDefault="000822AF" w:rsidP="00194D1E">
      <w:pPr>
        <w:tabs>
          <w:tab w:val="left" w:pos="567"/>
          <w:tab w:val="left" w:pos="1134"/>
        </w:tabs>
        <w:spacing w:after="0"/>
        <w:rPr>
          <w:rFonts w:cs="Arial"/>
        </w:rPr>
      </w:pPr>
      <w:r w:rsidRPr="00882976">
        <w:rPr>
          <w:rFonts w:cs="Arial"/>
        </w:rPr>
        <w:t xml:space="preserve">The MTFS includes general inflationary price increases across impacted areas which are generally based around national statistics such as RPI. It also includes any contractual or other price pressures that are known about. However, there are a number of </w:t>
      </w:r>
      <w:r w:rsidR="004B17DC">
        <w:rPr>
          <w:rFonts w:cs="Arial"/>
        </w:rPr>
        <w:t>significant procurement</w:t>
      </w:r>
      <w:r w:rsidRPr="00882976">
        <w:rPr>
          <w:rFonts w:cs="Arial"/>
        </w:rPr>
        <w:t xml:space="preserve"> exercises that the County Council </w:t>
      </w:r>
      <w:r w:rsidR="004B17DC">
        <w:rPr>
          <w:rFonts w:cs="Arial"/>
        </w:rPr>
        <w:t xml:space="preserve">(e.g. homecare) </w:t>
      </w:r>
      <w:r w:rsidRPr="00882976">
        <w:rPr>
          <w:rFonts w:cs="Arial"/>
        </w:rPr>
        <w:t>wi</w:t>
      </w:r>
      <w:r w:rsidR="004B17DC">
        <w:rPr>
          <w:rFonts w:cs="Arial"/>
        </w:rPr>
        <w:t>ll be undertaking over the time</w:t>
      </w:r>
      <w:r w:rsidRPr="00882976">
        <w:rPr>
          <w:rFonts w:cs="Arial"/>
        </w:rPr>
        <w:t>frame of the MTFS (with some over the next 12 months)</w:t>
      </w:r>
      <w:r w:rsidR="004B17DC">
        <w:rPr>
          <w:rFonts w:cs="Arial"/>
        </w:rPr>
        <w:t xml:space="preserve"> </w:t>
      </w:r>
      <w:r w:rsidRPr="00882976">
        <w:rPr>
          <w:rFonts w:cs="Arial"/>
        </w:rPr>
        <w:t xml:space="preserve">and any </w:t>
      </w:r>
      <w:r w:rsidR="004B17DC">
        <w:rPr>
          <w:rFonts w:cs="Arial"/>
        </w:rPr>
        <w:t xml:space="preserve">additional </w:t>
      </w:r>
      <w:r w:rsidRPr="00882976">
        <w:rPr>
          <w:rFonts w:cs="Arial"/>
        </w:rPr>
        <w:t xml:space="preserve">price increases </w:t>
      </w:r>
      <w:r w:rsidR="004B17DC">
        <w:rPr>
          <w:rFonts w:cs="Arial"/>
        </w:rPr>
        <w:t>will be built into future</w:t>
      </w:r>
      <w:r w:rsidRPr="00882976">
        <w:rPr>
          <w:rFonts w:cs="Arial"/>
        </w:rPr>
        <w:t xml:space="preserve"> MTFS</w:t>
      </w:r>
      <w:r w:rsidR="004B17DC">
        <w:rPr>
          <w:rFonts w:cs="Arial"/>
        </w:rPr>
        <w:t xml:space="preserve"> revisions. </w:t>
      </w:r>
    </w:p>
    <w:p w14:paraId="39DAD0CA" w14:textId="77777777" w:rsidR="00346865" w:rsidRPr="00882976" w:rsidRDefault="00346865" w:rsidP="00194D1E">
      <w:pPr>
        <w:tabs>
          <w:tab w:val="left" w:pos="567"/>
          <w:tab w:val="left" w:pos="1134"/>
        </w:tabs>
        <w:spacing w:after="0"/>
        <w:rPr>
          <w:rFonts w:cs="Arial"/>
        </w:rPr>
      </w:pPr>
    </w:p>
    <w:p w14:paraId="5286E921" w14:textId="111587E5" w:rsidR="00506C3A" w:rsidRDefault="009B41C1" w:rsidP="00194D1E">
      <w:pPr>
        <w:tabs>
          <w:tab w:val="left" w:pos="567"/>
          <w:tab w:val="left" w:pos="1134"/>
        </w:tabs>
        <w:spacing w:after="0"/>
        <w:rPr>
          <w:rFonts w:cs="Arial"/>
          <w:b/>
        </w:rPr>
      </w:pPr>
      <w:r w:rsidRPr="009B41C1">
        <w:rPr>
          <w:rFonts w:cs="Arial"/>
          <w:b/>
        </w:rPr>
        <w:t>4.7 Education S</w:t>
      </w:r>
      <w:r>
        <w:rPr>
          <w:rFonts w:cs="Arial"/>
          <w:b/>
        </w:rPr>
        <w:t>ervices</w:t>
      </w:r>
      <w:r w:rsidRPr="009B41C1">
        <w:rPr>
          <w:rFonts w:cs="Arial"/>
          <w:b/>
        </w:rPr>
        <w:t xml:space="preserve"> Grant</w:t>
      </w:r>
    </w:p>
    <w:p w14:paraId="771CE72D" w14:textId="77777777" w:rsidR="009B41C1" w:rsidRDefault="009B41C1" w:rsidP="00194D1E">
      <w:pPr>
        <w:tabs>
          <w:tab w:val="left" w:pos="567"/>
          <w:tab w:val="left" w:pos="1134"/>
        </w:tabs>
        <w:spacing w:after="0"/>
        <w:rPr>
          <w:rFonts w:cs="Arial"/>
          <w:b/>
        </w:rPr>
      </w:pPr>
    </w:p>
    <w:p w14:paraId="5EC81E80" w14:textId="1D00EE12" w:rsidR="00506C3A" w:rsidRPr="00882976" w:rsidRDefault="00A62F9A" w:rsidP="00194D1E">
      <w:pPr>
        <w:tabs>
          <w:tab w:val="left" w:pos="567"/>
          <w:tab w:val="left" w:pos="1134"/>
        </w:tabs>
        <w:spacing w:after="0"/>
        <w:rPr>
          <w:rFonts w:cs="Arial"/>
        </w:rPr>
      </w:pPr>
      <w:r w:rsidRPr="00A62F9A">
        <w:rPr>
          <w:rFonts w:cs="Arial"/>
        </w:rPr>
        <w:t>The Local Authority received £14.5m revenue funding in 2016/17 from this grant.  This funding stream will cease in its current for</w:t>
      </w:r>
      <w:r w:rsidR="006063FD">
        <w:rPr>
          <w:rFonts w:cs="Arial"/>
        </w:rPr>
        <w:t>m</w:t>
      </w:r>
      <w:r w:rsidRPr="00A62F9A">
        <w:rPr>
          <w:rFonts w:cs="Arial"/>
        </w:rPr>
        <w:t xml:space="preserve"> in September 2017 with transition</w:t>
      </w:r>
      <w:r w:rsidR="006063FD">
        <w:rPr>
          <w:rFonts w:cs="Arial"/>
        </w:rPr>
        <w:t>al</w:t>
      </w:r>
      <w:r w:rsidRPr="00A62F9A">
        <w:rPr>
          <w:rFonts w:cs="Arial"/>
        </w:rPr>
        <w:t xml:space="preserve"> funding being provided for 2017/18.  The exact level of this funding is still to be announced but a reduction in overall funding</w:t>
      </w:r>
      <w:r w:rsidR="006063FD">
        <w:rPr>
          <w:rFonts w:cs="Arial"/>
        </w:rPr>
        <w:t xml:space="preserve"> is anticipated</w:t>
      </w:r>
      <w:r w:rsidRPr="00A62F9A">
        <w:rPr>
          <w:rFonts w:cs="Arial"/>
        </w:rPr>
        <w:t>.  This will be reviewed as further information becomes available.  Generally there is a shift towards LAs being funded for "Central Duties" via a new smaller grant and "Retained Duties being funded out of the Dedicated Schools Grant which will require Schools approval.  New regulations and rates are still awaited.</w:t>
      </w:r>
      <w:r w:rsidR="006063FD">
        <w:rPr>
          <w:rFonts w:cs="Arial"/>
        </w:rPr>
        <w:t xml:space="preserve"> The MTFS does not currently reflect a reduction in this grant. </w:t>
      </w:r>
    </w:p>
    <w:p w14:paraId="3E46EF3D" w14:textId="77777777" w:rsidR="00506C3A" w:rsidRPr="00882976" w:rsidRDefault="00506C3A" w:rsidP="00194D1E">
      <w:pPr>
        <w:tabs>
          <w:tab w:val="left" w:pos="567"/>
          <w:tab w:val="left" w:pos="1134"/>
        </w:tabs>
        <w:spacing w:after="0"/>
        <w:rPr>
          <w:rFonts w:cs="Arial"/>
        </w:rPr>
      </w:pPr>
    </w:p>
    <w:p w14:paraId="4254CFBA" w14:textId="77777777" w:rsidR="00506C3A" w:rsidRPr="00882976" w:rsidRDefault="00506C3A" w:rsidP="00194D1E">
      <w:pPr>
        <w:tabs>
          <w:tab w:val="left" w:pos="567"/>
          <w:tab w:val="left" w:pos="1134"/>
        </w:tabs>
        <w:spacing w:after="0"/>
        <w:rPr>
          <w:rFonts w:cs="Arial"/>
        </w:rPr>
      </w:pPr>
    </w:p>
    <w:p w14:paraId="700BFD27" w14:textId="77777777" w:rsidR="00506C3A" w:rsidRPr="00882976" w:rsidRDefault="00506C3A" w:rsidP="00194D1E">
      <w:pPr>
        <w:tabs>
          <w:tab w:val="left" w:pos="567"/>
          <w:tab w:val="left" w:pos="1134"/>
        </w:tabs>
        <w:spacing w:after="0"/>
        <w:rPr>
          <w:rFonts w:cs="Arial"/>
        </w:rPr>
      </w:pPr>
    </w:p>
    <w:sectPr w:rsidR="00506C3A" w:rsidRPr="00882976" w:rsidSect="00AE21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E62E4F" w:rsidRDefault="00E62E4F" w:rsidP="00124FDC">
      <w:pPr>
        <w:spacing w:after="0"/>
      </w:pPr>
      <w:r>
        <w:separator/>
      </w:r>
    </w:p>
  </w:endnote>
  <w:endnote w:type="continuationSeparator" w:id="0">
    <w:p w14:paraId="1AD29C4F" w14:textId="77777777" w:rsidR="00E62E4F" w:rsidRDefault="00E62E4F"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E62E4F" w:rsidRDefault="00E62E4F">
        <w:pPr>
          <w:pStyle w:val="Footer"/>
        </w:pPr>
        <w:r>
          <w:fldChar w:fldCharType="begin"/>
        </w:r>
        <w:r>
          <w:instrText xml:space="preserve"> PAGE   \* MERGEFORMAT </w:instrText>
        </w:r>
        <w:r>
          <w:fldChar w:fldCharType="separate"/>
        </w:r>
        <w:r w:rsidR="0001399C">
          <w:rPr>
            <w:noProof/>
          </w:rPr>
          <w:t>21</w:t>
        </w:r>
        <w:r>
          <w:rPr>
            <w:noProof/>
          </w:rPr>
          <w:fldChar w:fldCharType="end"/>
        </w:r>
      </w:p>
    </w:sdtContent>
  </w:sdt>
  <w:p w14:paraId="3AE0D65A" w14:textId="77777777" w:rsidR="00E62E4F" w:rsidRDefault="00E6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E62E4F" w:rsidRDefault="00E62E4F" w:rsidP="00124FDC">
      <w:pPr>
        <w:spacing w:after="0"/>
      </w:pPr>
      <w:r>
        <w:separator/>
      </w:r>
    </w:p>
  </w:footnote>
  <w:footnote w:type="continuationSeparator" w:id="0">
    <w:p w14:paraId="280DB1E2" w14:textId="77777777" w:rsidR="00E62E4F" w:rsidRDefault="00E62E4F"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4363A383" w:rsidR="00E62E4F" w:rsidRDefault="0001399C">
    <w:pPr>
      <w:pStyle w:val="Header"/>
    </w:pPr>
    <w:sdt>
      <w:sdtPr>
        <w:id w:val="-2063089987"/>
        <w:docPartObj>
          <w:docPartGallery w:val="Page Numbers (Top of Page)"/>
          <w:docPartUnique/>
        </w:docPartObj>
      </w:sdtPr>
      <w:sdtEndPr>
        <w:rPr>
          <w:noProof/>
        </w:rPr>
      </w:sdtEndPr>
      <w:sdtContent>
        <w:r w:rsidR="00E62E4F">
          <w:fldChar w:fldCharType="begin"/>
        </w:r>
        <w:r w:rsidR="00E62E4F">
          <w:instrText xml:space="preserve"> PAGE   \* MERGEFORMAT </w:instrText>
        </w:r>
        <w:r w:rsidR="00E62E4F">
          <w:fldChar w:fldCharType="separate"/>
        </w:r>
        <w:r>
          <w:rPr>
            <w:noProof/>
          </w:rPr>
          <w:t>21</w:t>
        </w:r>
        <w:r w:rsidR="00E62E4F">
          <w:rPr>
            <w:noProof/>
          </w:rPr>
          <w:fldChar w:fldCharType="end"/>
        </w:r>
      </w:sdtContent>
    </w:sdt>
  </w:p>
  <w:p w14:paraId="67CA53C7" w14:textId="77777777" w:rsidR="00E62E4F" w:rsidRDefault="00E62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77777777" w:rsidR="00E62E4F" w:rsidRDefault="00E62E4F"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57728" behindDoc="0" locked="0" layoutInCell="1" allowOverlap="1" wp14:anchorId="0589B9CF" wp14:editId="0FA9E762">
              <wp:simplePos x="0" y="0"/>
              <wp:positionH relativeFrom="column">
                <wp:posOffset>5445125</wp:posOffset>
              </wp:positionH>
              <wp:positionV relativeFrom="paragraph">
                <wp:posOffset>-267335</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14:paraId="7D94520E" w14:textId="7441C879" w:rsidR="00E62E4F" w:rsidRPr="000C5639" w:rsidRDefault="00E62E4F">
                          <w:pPr>
                            <w:rPr>
                              <w:b/>
                            </w:rPr>
                          </w:pPr>
                          <w:r w:rsidRPr="000C5639">
                            <w:rPr>
                              <w:b/>
                            </w:rPr>
                            <w:t xml:space="preserve">Appendix </w:t>
                          </w:r>
                          <w:r>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9B9CF" id="_x0000_t202" coordsize="21600,21600" o:spt="202" path="m,l,21600r21600,l21600,xe">
              <v:stroke joinstyle="miter"/>
              <v:path gradientshapeok="t" o:connecttype="rect"/>
            </v:shapetype>
            <v:shape id="Text Box 2" o:spid="_x0000_s1027" type="#_x0000_t202" style="position:absolute;left:0;text-align:left;margin-left:428.75pt;margin-top:-21.05pt;width:86.0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">
              <v:textbox style="mso-fit-shape-to-text:t">
                <w:txbxContent>
                  <w:p w14:paraId="7D94520E" w14:textId="7441C879" w:rsidR="00E62E4F" w:rsidRPr="000C5639" w:rsidRDefault="00E62E4F">
                    <w:pPr>
                      <w:rPr>
                        <w:b/>
                      </w:rPr>
                    </w:pPr>
                    <w:r w:rsidRPr="000C5639">
                      <w:rPr>
                        <w:b/>
                      </w:rPr>
                      <w:t xml:space="preserve">Appendix </w:t>
                    </w:r>
                    <w:r>
                      <w:rPr>
                        <w:b/>
                      </w:rPr>
                      <w:t>B</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06E1DF6"/>
    <w:multiLevelType w:val="hybridMultilevel"/>
    <w:tmpl w:val="187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10F562A"/>
    <w:multiLevelType w:val="hybridMultilevel"/>
    <w:tmpl w:val="09C40C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21D3D7F"/>
    <w:multiLevelType w:val="hybridMultilevel"/>
    <w:tmpl w:val="E5A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53B4F3A"/>
    <w:multiLevelType w:val="hybridMultilevel"/>
    <w:tmpl w:val="34B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94F56C6"/>
    <w:multiLevelType w:val="hybridMultilevel"/>
    <w:tmpl w:val="7A3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9801BCE"/>
    <w:multiLevelType w:val="hybridMultilevel"/>
    <w:tmpl w:val="B98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9AF2523"/>
    <w:multiLevelType w:val="hybridMultilevel"/>
    <w:tmpl w:val="BB20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A5C231F"/>
    <w:multiLevelType w:val="hybridMultilevel"/>
    <w:tmpl w:val="0E3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C0F5ABD"/>
    <w:multiLevelType w:val="hybridMultilevel"/>
    <w:tmpl w:val="A6E6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E841A96"/>
    <w:multiLevelType w:val="hybridMultilevel"/>
    <w:tmpl w:val="3DA4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9B604E"/>
    <w:multiLevelType w:val="hybridMultilevel"/>
    <w:tmpl w:val="CAFEF6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2AF7E47"/>
    <w:multiLevelType w:val="hybridMultilevel"/>
    <w:tmpl w:val="71F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3375114"/>
    <w:multiLevelType w:val="hybridMultilevel"/>
    <w:tmpl w:val="73F86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7733BFC"/>
    <w:multiLevelType w:val="hybridMultilevel"/>
    <w:tmpl w:val="C74A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9895967"/>
    <w:multiLevelType w:val="hybridMultilevel"/>
    <w:tmpl w:val="B84A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634B33"/>
    <w:multiLevelType w:val="hybridMultilevel"/>
    <w:tmpl w:val="572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825250"/>
    <w:multiLevelType w:val="hybridMultilevel"/>
    <w:tmpl w:val="F87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D973FF"/>
    <w:multiLevelType w:val="hybridMultilevel"/>
    <w:tmpl w:val="C0CAA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E21129C"/>
    <w:multiLevelType w:val="hybridMultilevel"/>
    <w:tmpl w:val="5190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F25E8D"/>
    <w:multiLevelType w:val="hybridMultilevel"/>
    <w:tmpl w:val="3046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2A2F4F"/>
    <w:multiLevelType w:val="hybridMultilevel"/>
    <w:tmpl w:val="51BAAE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1" w15:restartNumberingAfterBreak="0">
    <w:nsid w:val="20534CCC"/>
    <w:multiLevelType w:val="hybridMultilevel"/>
    <w:tmpl w:val="DD7CA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08E1C80"/>
    <w:multiLevelType w:val="hybridMultilevel"/>
    <w:tmpl w:val="F5E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6B14A6"/>
    <w:multiLevelType w:val="hybridMultilevel"/>
    <w:tmpl w:val="C78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807468E"/>
    <w:multiLevelType w:val="hybridMultilevel"/>
    <w:tmpl w:val="27B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A71229"/>
    <w:multiLevelType w:val="hybridMultilevel"/>
    <w:tmpl w:val="D15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DC46797"/>
    <w:multiLevelType w:val="hybridMultilevel"/>
    <w:tmpl w:val="F6B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F00F05"/>
    <w:multiLevelType w:val="hybridMultilevel"/>
    <w:tmpl w:val="EDAE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6F1334"/>
    <w:multiLevelType w:val="hybridMultilevel"/>
    <w:tmpl w:val="C068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FB74830"/>
    <w:multiLevelType w:val="hybridMultilevel"/>
    <w:tmpl w:val="37B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0380328"/>
    <w:multiLevelType w:val="hybridMultilevel"/>
    <w:tmpl w:val="B9CC41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30FB387C"/>
    <w:multiLevelType w:val="hybridMultilevel"/>
    <w:tmpl w:val="5626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2610250"/>
    <w:multiLevelType w:val="hybridMultilevel"/>
    <w:tmpl w:val="7988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4" w15:restartNumberingAfterBreak="0">
    <w:nsid w:val="338E1B06"/>
    <w:multiLevelType w:val="hybridMultilevel"/>
    <w:tmpl w:val="C8C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541BCC"/>
    <w:multiLevelType w:val="hybridMultilevel"/>
    <w:tmpl w:val="448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91C2DA1"/>
    <w:multiLevelType w:val="hybridMultilevel"/>
    <w:tmpl w:val="6790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9EF51F6"/>
    <w:multiLevelType w:val="hybridMultilevel"/>
    <w:tmpl w:val="7472B19C"/>
    <w:lvl w:ilvl="0" w:tplc="1E3C5676">
      <w:start w:val="1"/>
      <w:numFmt w:val="decimal"/>
      <w:lvlText w:val="%1."/>
      <w:lvlJc w:val="left"/>
      <w:pPr>
        <w:ind w:left="720" w:hanging="360"/>
      </w:pPr>
      <w:rPr>
        <w:rFonts w:asciiTheme="minorHAnsi" w:eastAsiaTheme="minorHAnsi" w:hAnsiTheme="minorHAnsi" w:cstheme="minorBidi"/>
      </w:rPr>
    </w:lvl>
    <w:lvl w:ilvl="1" w:tplc="D5EEB32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310F7F"/>
    <w:multiLevelType w:val="hybridMultilevel"/>
    <w:tmpl w:val="467A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BC42085"/>
    <w:multiLevelType w:val="hybridMultilevel"/>
    <w:tmpl w:val="999A19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CD21179"/>
    <w:multiLevelType w:val="hybridMultilevel"/>
    <w:tmpl w:val="FC2CE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F6736E"/>
    <w:multiLevelType w:val="hybridMultilevel"/>
    <w:tmpl w:val="1C9E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D33114F"/>
    <w:multiLevelType w:val="hybridMultilevel"/>
    <w:tmpl w:val="783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304FFE"/>
    <w:multiLevelType w:val="hybridMultilevel"/>
    <w:tmpl w:val="39EA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0780881"/>
    <w:multiLevelType w:val="hybridMultilevel"/>
    <w:tmpl w:val="BCA45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42707BBF"/>
    <w:multiLevelType w:val="hybridMultilevel"/>
    <w:tmpl w:val="686ED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2DE7426"/>
    <w:multiLevelType w:val="hybridMultilevel"/>
    <w:tmpl w:val="69D486A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8" w15:restartNumberingAfterBreak="0">
    <w:nsid w:val="438D2F0B"/>
    <w:multiLevelType w:val="hybridMultilevel"/>
    <w:tmpl w:val="F452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7E2E0F"/>
    <w:multiLevelType w:val="hybridMultilevel"/>
    <w:tmpl w:val="5B6E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097B18"/>
    <w:multiLevelType w:val="hybridMultilevel"/>
    <w:tmpl w:val="4A8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5365B6"/>
    <w:multiLevelType w:val="hybridMultilevel"/>
    <w:tmpl w:val="F6629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51555F4B"/>
    <w:multiLevelType w:val="hybridMultilevel"/>
    <w:tmpl w:val="391C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2066C33"/>
    <w:multiLevelType w:val="hybridMultilevel"/>
    <w:tmpl w:val="56B2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20C6D8F"/>
    <w:multiLevelType w:val="hybridMultilevel"/>
    <w:tmpl w:val="3BD8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E84C00"/>
    <w:multiLevelType w:val="hybridMultilevel"/>
    <w:tmpl w:val="A2ECA430"/>
    <w:lvl w:ilvl="0" w:tplc="49B0358E">
      <w:numFmt w:val="bullet"/>
      <w:lvlText w:val="·"/>
      <w:lvlJc w:val="left"/>
      <w:pPr>
        <w:ind w:left="720" w:hanging="360"/>
      </w:pPr>
      <w:rPr>
        <w:rFonts w:ascii="Symbol" w:eastAsia="Arial" w:hAnsi="Symbol" w:hint="default"/>
        <w:b w:val="0"/>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0E0F32"/>
    <w:multiLevelType w:val="hybridMultilevel"/>
    <w:tmpl w:val="55E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EF1616"/>
    <w:multiLevelType w:val="hybridMultilevel"/>
    <w:tmpl w:val="EB9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433B3D"/>
    <w:multiLevelType w:val="hybridMultilevel"/>
    <w:tmpl w:val="C8A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D359A3"/>
    <w:multiLevelType w:val="hybridMultilevel"/>
    <w:tmpl w:val="FD1E25FA"/>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FF76095"/>
    <w:multiLevelType w:val="hybridMultilevel"/>
    <w:tmpl w:val="E16C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630F5D"/>
    <w:multiLevelType w:val="hybridMultilevel"/>
    <w:tmpl w:val="52003D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619E3770"/>
    <w:multiLevelType w:val="hybridMultilevel"/>
    <w:tmpl w:val="0608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047EF2"/>
    <w:multiLevelType w:val="hybridMultilevel"/>
    <w:tmpl w:val="96CE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3272344"/>
    <w:multiLevelType w:val="hybridMultilevel"/>
    <w:tmpl w:val="60D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3C374F1"/>
    <w:multiLevelType w:val="hybridMultilevel"/>
    <w:tmpl w:val="17B6DF48"/>
    <w:lvl w:ilvl="0" w:tplc="08090001">
      <w:start w:val="1"/>
      <w:numFmt w:val="bullet"/>
      <w:lvlText w:val=""/>
      <w:lvlJc w:val="left"/>
      <w:pPr>
        <w:ind w:left="502" w:hanging="360"/>
      </w:pPr>
      <w:rPr>
        <w:rFonts w:ascii="Symbol" w:hAnsi="Symbol" w:hint="default"/>
      </w:rPr>
    </w:lvl>
    <w:lvl w:ilvl="1" w:tplc="256C178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5CA5083"/>
    <w:multiLevelType w:val="hybridMultilevel"/>
    <w:tmpl w:val="D3E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78B0D84"/>
    <w:multiLevelType w:val="hybridMultilevel"/>
    <w:tmpl w:val="4C50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AB32FCF"/>
    <w:multiLevelType w:val="hybridMultilevel"/>
    <w:tmpl w:val="B636D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B4C1C94"/>
    <w:multiLevelType w:val="hybridMultilevel"/>
    <w:tmpl w:val="30B4B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B707707"/>
    <w:multiLevelType w:val="hybridMultilevel"/>
    <w:tmpl w:val="A858E696"/>
    <w:lvl w:ilvl="0" w:tplc="49B0358E">
      <w:numFmt w:val="bullet"/>
      <w:lvlText w:val="·"/>
      <w:lvlJc w:val="left"/>
      <w:pPr>
        <w:ind w:left="360" w:hanging="360"/>
      </w:pPr>
      <w:rPr>
        <w:rFonts w:ascii="Symbol" w:eastAsia="Arial" w:hAnsi="Symbol" w:hint="default"/>
        <w:b w:val="0"/>
        <w:color w:val="000000"/>
        <w:sz w:val="24"/>
        <w:szCs w:val="24"/>
      </w:rPr>
    </w:lvl>
    <w:lvl w:ilvl="1" w:tplc="F9EC5F4E">
      <w:start w:val="1"/>
      <w:numFmt w:val="bullet"/>
      <w:lvlText w:val="o"/>
      <w:lvlJc w:val="left"/>
      <w:pPr>
        <w:ind w:left="1080" w:hanging="360"/>
      </w:pPr>
      <w:rPr>
        <w:rFonts w:ascii="Calibri" w:eastAsia="Calibri" w:hAnsi="Calibri" w:hint="default"/>
        <w:b/>
        <w:color w:val="000000"/>
        <w:sz w:val="24"/>
        <w:szCs w:val="24"/>
      </w:rPr>
    </w:lvl>
    <w:lvl w:ilvl="2" w:tplc="C3481C64">
      <w:start w:val="1"/>
      <w:numFmt w:val="bullet"/>
      <w:lvlText w:val="§"/>
      <w:lvlJc w:val="left"/>
      <w:pPr>
        <w:ind w:left="1800" w:hanging="360"/>
      </w:pPr>
      <w:rPr>
        <w:rFonts w:ascii="Calibri" w:eastAsia="Calibri" w:hAnsi="Calibri" w:hint="default"/>
        <w:b/>
        <w:color w:val="000000"/>
        <w:sz w:val="24"/>
        <w:szCs w:val="24"/>
      </w:rPr>
    </w:lvl>
    <w:lvl w:ilvl="3" w:tplc="8D56B9E8">
      <w:start w:val="1"/>
      <w:numFmt w:val="bullet"/>
      <w:lvlText w:val="·"/>
      <w:lvlJc w:val="left"/>
      <w:pPr>
        <w:ind w:left="2520" w:hanging="360"/>
      </w:pPr>
      <w:rPr>
        <w:rFonts w:ascii="Calibri" w:eastAsia="Calibri" w:hAnsi="Calibri" w:hint="default"/>
        <w:b/>
        <w:color w:val="000000"/>
        <w:sz w:val="24"/>
        <w:szCs w:val="24"/>
      </w:rPr>
    </w:lvl>
    <w:lvl w:ilvl="4" w:tplc="AE847408">
      <w:start w:val="1"/>
      <w:numFmt w:val="bullet"/>
      <w:lvlText w:val="o"/>
      <w:lvlJc w:val="left"/>
      <w:pPr>
        <w:ind w:left="3240" w:hanging="360"/>
      </w:pPr>
      <w:rPr>
        <w:rFonts w:ascii="Calibri" w:eastAsia="Calibri" w:hAnsi="Calibri" w:hint="default"/>
        <w:b/>
        <w:color w:val="000000"/>
        <w:sz w:val="24"/>
        <w:szCs w:val="24"/>
      </w:rPr>
    </w:lvl>
    <w:lvl w:ilvl="5" w:tplc="DDB28B6E">
      <w:start w:val="1"/>
      <w:numFmt w:val="bullet"/>
      <w:lvlText w:val="§"/>
      <w:lvlJc w:val="left"/>
      <w:pPr>
        <w:ind w:left="3960" w:hanging="360"/>
      </w:pPr>
      <w:rPr>
        <w:rFonts w:ascii="Calibri" w:eastAsia="Calibri" w:hAnsi="Calibri" w:hint="default"/>
        <w:b/>
        <w:color w:val="000000"/>
        <w:sz w:val="24"/>
        <w:szCs w:val="24"/>
      </w:rPr>
    </w:lvl>
    <w:lvl w:ilvl="6" w:tplc="87D6B0AC">
      <w:start w:val="1"/>
      <w:numFmt w:val="bullet"/>
      <w:lvlText w:val="·"/>
      <w:lvlJc w:val="left"/>
      <w:pPr>
        <w:ind w:left="4680" w:hanging="360"/>
      </w:pPr>
      <w:rPr>
        <w:rFonts w:ascii="Calibri" w:eastAsia="Calibri" w:hAnsi="Calibri" w:hint="default"/>
        <w:b/>
        <w:color w:val="000000"/>
        <w:sz w:val="24"/>
        <w:szCs w:val="24"/>
      </w:rPr>
    </w:lvl>
    <w:lvl w:ilvl="7" w:tplc="55D8CF08">
      <w:start w:val="1"/>
      <w:numFmt w:val="bullet"/>
      <w:lvlText w:val="o"/>
      <w:lvlJc w:val="left"/>
      <w:pPr>
        <w:ind w:left="5400" w:hanging="360"/>
      </w:pPr>
      <w:rPr>
        <w:rFonts w:ascii="Calibri" w:eastAsia="Calibri" w:hAnsi="Calibri" w:hint="default"/>
        <w:b/>
        <w:color w:val="000000"/>
        <w:sz w:val="24"/>
        <w:szCs w:val="24"/>
      </w:rPr>
    </w:lvl>
    <w:lvl w:ilvl="8" w:tplc="10445D2C">
      <w:start w:val="1"/>
      <w:numFmt w:val="bullet"/>
      <w:lvlText w:val="§"/>
      <w:lvlJc w:val="left"/>
      <w:pPr>
        <w:ind w:left="6120" w:hanging="360"/>
      </w:pPr>
      <w:rPr>
        <w:rFonts w:ascii="Calibri" w:eastAsia="Calibri" w:hAnsi="Calibri" w:hint="default"/>
        <w:b/>
        <w:color w:val="000000"/>
        <w:sz w:val="24"/>
        <w:szCs w:val="24"/>
      </w:rPr>
    </w:lvl>
  </w:abstractNum>
  <w:abstractNum w:abstractNumId="92" w15:restartNumberingAfterBreak="0">
    <w:nsid w:val="6BFC7B04"/>
    <w:multiLevelType w:val="hybridMultilevel"/>
    <w:tmpl w:val="C9F452C8"/>
    <w:lvl w:ilvl="0" w:tplc="3B2C852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CEB345A"/>
    <w:multiLevelType w:val="hybridMultilevel"/>
    <w:tmpl w:val="840C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DC90564"/>
    <w:multiLevelType w:val="hybridMultilevel"/>
    <w:tmpl w:val="BE6E08B4"/>
    <w:lvl w:ilvl="0" w:tplc="9DAA13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143376"/>
    <w:multiLevelType w:val="hybridMultilevel"/>
    <w:tmpl w:val="C6EE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F75262C"/>
    <w:multiLevelType w:val="hybridMultilevel"/>
    <w:tmpl w:val="3028D9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7" w15:restartNumberingAfterBreak="0">
    <w:nsid w:val="70BF22D1"/>
    <w:multiLevelType w:val="hybridMultilevel"/>
    <w:tmpl w:val="5F28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FD5CD8"/>
    <w:multiLevelType w:val="hybridMultilevel"/>
    <w:tmpl w:val="36F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8F64130"/>
    <w:multiLevelType w:val="hybridMultilevel"/>
    <w:tmpl w:val="1226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B3034AB"/>
    <w:multiLevelType w:val="hybridMultilevel"/>
    <w:tmpl w:val="5DE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65"/>
  </w:num>
  <w:num w:numId="3">
    <w:abstractNumId w:val="99"/>
  </w:num>
  <w:num w:numId="4">
    <w:abstractNumId w:val="8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92"/>
  </w:num>
  <w:num w:numId="26">
    <w:abstractNumId w:val="85"/>
  </w:num>
  <w:num w:numId="27">
    <w:abstractNumId w:val="54"/>
  </w:num>
  <w:num w:numId="28">
    <w:abstractNumId w:val="70"/>
  </w:num>
  <w:num w:numId="29">
    <w:abstractNumId w:val="60"/>
  </w:num>
  <w:num w:numId="30">
    <w:abstractNumId w:val="35"/>
  </w:num>
  <w:num w:numId="31">
    <w:abstractNumId w:val="96"/>
  </w:num>
  <w:num w:numId="32">
    <w:abstractNumId w:val="98"/>
  </w:num>
  <w:num w:numId="33">
    <w:abstractNumId w:val="21"/>
  </w:num>
  <w:num w:numId="34">
    <w:abstractNumId w:val="81"/>
  </w:num>
  <w:num w:numId="35">
    <w:abstractNumId w:val="30"/>
  </w:num>
  <w:num w:numId="36">
    <w:abstractNumId w:val="59"/>
  </w:num>
  <w:num w:numId="37">
    <w:abstractNumId w:val="64"/>
  </w:num>
  <w:num w:numId="38">
    <w:abstractNumId w:val="76"/>
  </w:num>
  <w:num w:numId="39">
    <w:abstractNumId w:val="94"/>
  </w:num>
  <w:num w:numId="40">
    <w:abstractNumId w:val="24"/>
  </w:num>
  <w:num w:numId="41">
    <w:abstractNumId w:val="71"/>
  </w:num>
  <w:num w:numId="42">
    <w:abstractNumId w:val="87"/>
  </w:num>
  <w:num w:numId="43">
    <w:abstractNumId w:val="58"/>
  </w:num>
  <w:num w:numId="44">
    <w:abstractNumId w:val="20"/>
  </w:num>
  <w:num w:numId="45">
    <w:abstractNumId w:val="95"/>
  </w:num>
  <w:num w:numId="46">
    <w:abstractNumId w:val="43"/>
  </w:num>
  <w:num w:numId="47">
    <w:abstractNumId w:val="44"/>
  </w:num>
  <w:num w:numId="48">
    <w:abstractNumId w:val="36"/>
  </w:num>
  <w:num w:numId="49">
    <w:abstractNumId w:val="38"/>
  </w:num>
  <w:num w:numId="50">
    <w:abstractNumId w:val="61"/>
  </w:num>
  <w:num w:numId="51">
    <w:abstractNumId w:val="93"/>
  </w:num>
  <w:num w:numId="52">
    <w:abstractNumId w:val="28"/>
  </w:num>
  <w:num w:numId="53">
    <w:abstractNumId w:val="22"/>
  </w:num>
  <w:num w:numId="54">
    <w:abstractNumId w:val="32"/>
  </w:num>
  <w:num w:numId="55">
    <w:abstractNumId w:val="74"/>
  </w:num>
  <w:num w:numId="56">
    <w:abstractNumId w:val="66"/>
  </w:num>
  <w:num w:numId="57">
    <w:abstractNumId w:val="45"/>
  </w:num>
  <w:num w:numId="58">
    <w:abstractNumId w:val="23"/>
  </w:num>
  <w:num w:numId="59">
    <w:abstractNumId w:val="27"/>
  </w:num>
  <w:num w:numId="60">
    <w:abstractNumId w:val="69"/>
  </w:num>
  <w:num w:numId="61">
    <w:abstractNumId w:val="62"/>
  </w:num>
  <w:num w:numId="62">
    <w:abstractNumId w:val="46"/>
  </w:num>
  <w:num w:numId="63">
    <w:abstractNumId w:val="57"/>
  </w:num>
  <w:num w:numId="64">
    <w:abstractNumId w:val="77"/>
  </w:num>
  <w:num w:numId="65">
    <w:abstractNumId w:val="50"/>
  </w:num>
  <w:num w:numId="66">
    <w:abstractNumId w:val="79"/>
  </w:num>
  <w:num w:numId="67">
    <w:abstractNumId w:val="51"/>
  </w:num>
  <w:num w:numId="68">
    <w:abstractNumId w:val="34"/>
  </w:num>
  <w:num w:numId="69">
    <w:abstractNumId w:val="29"/>
  </w:num>
  <w:num w:numId="70">
    <w:abstractNumId w:val="25"/>
  </w:num>
  <w:num w:numId="71">
    <w:abstractNumId w:val="68"/>
  </w:num>
  <w:num w:numId="72">
    <w:abstractNumId w:val="31"/>
  </w:num>
  <w:num w:numId="73">
    <w:abstractNumId w:val="91"/>
  </w:num>
  <w:num w:numId="74">
    <w:abstractNumId w:val="49"/>
  </w:num>
  <w:num w:numId="75">
    <w:abstractNumId w:val="75"/>
  </w:num>
  <w:num w:numId="76">
    <w:abstractNumId w:val="88"/>
  </w:num>
  <w:num w:numId="77">
    <w:abstractNumId w:val="48"/>
  </w:num>
  <w:num w:numId="78">
    <w:abstractNumId w:val="63"/>
  </w:num>
  <w:num w:numId="79">
    <w:abstractNumId w:val="72"/>
  </w:num>
  <w:num w:numId="80">
    <w:abstractNumId w:val="39"/>
  </w:num>
  <w:num w:numId="81">
    <w:abstractNumId w:val="42"/>
  </w:num>
  <w:num w:numId="82">
    <w:abstractNumId w:val="78"/>
  </w:num>
  <w:num w:numId="83">
    <w:abstractNumId w:val="26"/>
  </w:num>
  <w:num w:numId="84">
    <w:abstractNumId w:val="56"/>
  </w:num>
  <w:num w:numId="85">
    <w:abstractNumId w:val="80"/>
  </w:num>
  <w:num w:numId="86">
    <w:abstractNumId w:val="90"/>
  </w:num>
  <w:num w:numId="87">
    <w:abstractNumId w:val="84"/>
  </w:num>
  <w:num w:numId="88">
    <w:abstractNumId w:val="73"/>
  </w:num>
  <w:num w:numId="89">
    <w:abstractNumId w:val="89"/>
  </w:num>
  <w:num w:numId="90">
    <w:abstractNumId w:val="41"/>
  </w:num>
  <w:num w:numId="91">
    <w:abstractNumId w:val="67"/>
  </w:num>
  <w:num w:numId="92">
    <w:abstractNumId w:val="100"/>
  </w:num>
  <w:num w:numId="93">
    <w:abstractNumId w:val="47"/>
  </w:num>
  <w:num w:numId="94">
    <w:abstractNumId w:val="101"/>
  </w:num>
  <w:num w:numId="95">
    <w:abstractNumId w:val="83"/>
  </w:num>
  <w:num w:numId="96">
    <w:abstractNumId w:val="55"/>
  </w:num>
  <w:num w:numId="97">
    <w:abstractNumId w:val="52"/>
  </w:num>
  <w:num w:numId="98">
    <w:abstractNumId w:val="33"/>
  </w:num>
  <w:num w:numId="99">
    <w:abstractNumId w:val="82"/>
  </w:num>
  <w:num w:numId="100">
    <w:abstractNumId w:val="40"/>
  </w:num>
  <w:num w:numId="101">
    <w:abstractNumId w:val="37"/>
  </w:num>
  <w:num w:numId="102">
    <w:abstractNumId w:val="9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6553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5501"/>
    <w:rsid w:val="000061C5"/>
    <w:rsid w:val="0000699F"/>
    <w:rsid w:val="0001056B"/>
    <w:rsid w:val="000112C8"/>
    <w:rsid w:val="0001341B"/>
    <w:rsid w:val="0001399C"/>
    <w:rsid w:val="00016010"/>
    <w:rsid w:val="0002009B"/>
    <w:rsid w:val="000205B8"/>
    <w:rsid w:val="0002209D"/>
    <w:rsid w:val="00025819"/>
    <w:rsid w:val="0002619E"/>
    <w:rsid w:val="00026664"/>
    <w:rsid w:val="00033801"/>
    <w:rsid w:val="00044FF2"/>
    <w:rsid w:val="0004609F"/>
    <w:rsid w:val="00052490"/>
    <w:rsid w:val="00054C03"/>
    <w:rsid w:val="000561EF"/>
    <w:rsid w:val="00057B51"/>
    <w:rsid w:val="00060C9A"/>
    <w:rsid w:val="0006111C"/>
    <w:rsid w:val="00064B2E"/>
    <w:rsid w:val="000663E0"/>
    <w:rsid w:val="000701AB"/>
    <w:rsid w:val="00071F35"/>
    <w:rsid w:val="000740AB"/>
    <w:rsid w:val="0007606B"/>
    <w:rsid w:val="0008047C"/>
    <w:rsid w:val="00081179"/>
    <w:rsid w:val="00081E12"/>
    <w:rsid w:val="000822AF"/>
    <w:rsid w:val="00083512"/>
    <w:rsid w:val="0008360D"/>
    <w:rsid w:val="00085091"/>
    <w:rsid w:val="0009090A"/>
    <w:rsid w:val="00092756"/>
    <w:rsid w:val="000932E2"/>
    <w:rsid w:val="0009438D"/>
    <w:rsid w:val="00094919"/>
    <w:rsid w:val="000A1E1B"/>
    <w:rsid w:val="000A3809"/>
    <w:rsid w:val="000A3BD2"/>
    <w:rsid w:val="000A3FA6"/>
    <w:rsid w:val="000A4253"/>
    <w:rsid w:val="000A4469"/>
    <w:rsid w:val="000A56C6"/>
    <w:rsid w:val="000A5B83"/>
    <w:rsid w:val="000A747F"/>
    <w:rsid w:val="000A778B"/>
    <w:rsid w:val="000B11F8"/>
    <w:rsid w:val="000B1B4D"/>
    <w:rsid w:val="000B1C91"/>
    <w:rsid w:val="000B29E0"/>
    <w:rsid w:val="000B2AE1"/>
    <w:rsid w:val="000B4488"/>
    <w:rsid w:val="000B5277"/>
    <w:rsid w:val="000B6397"/>
    <w:rsid w:val="000B6F0F"/>
    <w:rsid w:val="000C0795"/>
    <w:rsid w:val="000C35EE"/>
    <w:rsid w:val="000C5639"/>
    <w:rsid w:val="000C58C2"/>
    <w:rsid w:val="000D0679"/>
    <w:rsid w:val="000D15C8"/>
    <w:rsid w:val="000D1F39"/>
    <w:rsid w:val="000D2A7F"/>
    <w:rsid w:val="000D3601"/>
    <w:rsid w:val="000D4309"/>
    <w:rsid w:val="000D4BF2"/>
    <w:rsid w:val="000D541D"/>
    <w:rsid w:val="000E00B0"/>
    <w:rsid w:val="000E02B4"/>
    <w:rsid w:val="000E0CB9"/>
    <w:rsid w:val="000E136B"/>
    <w:rsid w:val="000E333A"/>
    <w:rsid w:val="000E39EC"/>
    <w:rsid w:val="000E4831"/>
    <w:rsid w:val="000E5472"/>
    <w:rsid w:val="000E7CA1"/>
    <w:rsid w:val="000F0075"/>
    <w:rsid w:val="000F0210"/>
    <w:rsid w:val="000F0D26"/>
    <w:rsid w:val="000F0E5F"/>
    <w:rsid w:val="000F1242"/>
    <w:rsid w:val="000F14B4"/>
    <w:rsid w:val="000F2763"/>
    <w:rsid w:val="000F2931"/>
    <w:rsid w:val="000F38C5"/>
    <w:rsid w:val="000F5673"/>
    <w:rsid w:val="000F5B37"/>
    <w:rsid w:val="000F5D50"/>
    <w:rsid w:val="000F6B07"/>
    <w:rsid w:val="000F748D"/>
    <w:rsid w:val="001001D6"/>
    <w:rsid w:val="00101EC8"/>
    <w:rsid w:val="001046D1"/>
    <w:rsid w:val="00107954"/>
    <w:rsid w:val="00112647"/>
    <w:rsid w:val="00112B05"/>
    <w:rsid w:val="00114400"/>
    <w:rsid w:val="00116F50"/>
    <w:rsid w:val="001179E1"/>
    <w:rsid w:val="00120778"/>
    <w:rsid w:val="00121597"/>
    <w:rsid w:val="00122E8D"/>
    <w:rsid w:val="001230E2"/>
    <w:rsid w:val="00124613"/>
    <w:rsid w:val="001248E1"/>
    <w:rsid w:val="00124FDC"/>
    <w:rsid w:val="001300FC"/>
    <w:rsid w:val="0013075A"/>
    <w:rsid w:val="00130AB3"/>
    <w:rsid w:val="001314AB"/>
    <w:rsid w:val="001318F2"/>
    <w:rsid w:val="00132416"/>
    <w:rsid w:val="0013275E"/>
    <w:rsid w:val="00135DE1"/>
    <w:rsid w:val="001362D3"/>
    <w:rsid w:val="0013756B"/>
    <w:rsid w:val="001422F8"/>
    <w:rsid w:val="00142E26"/>
    <w:rsid w:val="00145395"/>
    <w:rsid w:val="001459AE"/>
    <w:rsid w:val="00145C7C"/>
    <w:rsid w:val="00145DBC"/>
    <w:rsid w:val="00147C02"/>
    <w:rsid w:val="00147CFE"/>
    <w:rsid w:val="00147F41"/>
    <w:rsid w:val="0015063B"/>
    <w:rsid w:val="0015133E"/>
    <w:rsid w:val="00151735"/>
    <w:rsid w:val="00151E3C"/>
    <w:rsid w:val="00153BDE"/>
    <w:rsid w:val="001547F8"/>
    <w:rsid w:val="00154FFB"/>
    <w:rsid w:val="001562D2"/>
    <w:rsid w:val="0015719E"/>
    <w:rsid w:val="00157938"/>
    <w:rsid w:val="00157DE1"/>
    <w:rsid w:val="0016157E"/>
    <w:rsid w:val="00161767"/>
    <w:rsid w:val="00161C22"/>
    <w:rsid w:val="00161D2B"/>
    <w:rsid w:val="0016461D"/>
    <w:rsid w:val="0016463C"/>
    <w:rsid w:val="00165163"/>
    <w:rsid w:val="00172D71"/>
    <w:rsid w:val="00173AEB"/>
    <w:rsid w:val="00174280"/>
    <w:rsid w:val="00175707"/>
    <w:rsid w:val="001760F2"/>
    <w:rsid w:val="0017632B"/>
    <w:rsid w:val="00176F2E"/>
    <w:rsid w:val="001821C9"/>
    <w:rsid w:val="0018449A"/>
    <w:rsid w:val="00185694"/>
    <w:rsid w:val="0018627E"/>
    <w:rsid w:val="001873E0"/>
    <w:rsid w:val="00187489"/>
    <w:rsid w:val="00192122"/>
    <w:rsid w:val="00194D1E"/>
    <w:rsid w:val="001970A0"/>
    <w:rsid w:val="001A059C"/>
    <w:rsid w:val="001A134C"/>
    <w:rsid w:val="001A18FA"/>
    <w:rsid w:val="001A27CD"/>
    <w:rsid w:val="001A3073"/>
    <w:rsid w:val="001A3334"/>
    <w:rsid w:val="001A5E75"/>
    <w:rsid w:val="001B1E3C"/>
    <w:rsid w:val="001B269D"/>
    <w:rsid w:val="001B3629"/>
    <w:rsid w:val="001B540F"/>
    <w:rsid w:val="001B5633"/>
    <w:rsid w:val="001B6014"/>
    <w:rsid w:val="001B6063"/>
    <w:rsid w:val="001B6541"/>
    <w:rsid w:val="001C0C6E"/>
    <w:rsid w:val="001C1BD1"/>
    <w:rsid w:val="001C1C6F"/>
    <w:rsid w:val="001C411B"/>
    <w:rsid w:val="001C5326"/>
    <w:rsid w:val="001C5E7F"/>
    <w:rsid w:val="001C68E2"/>
    <w:rsid w:val="001C6D3B"/>
    <w:rsid w:val="001D163E"/>
    <w:rsid w:val="001D24BD"/>
    <w:rsid w:val="001D39F6"/>
    <w:rsid w:val="001D524A"/>
    <w:rsid w:val="001D5EAF"/>
    <w:rsid w:val="001D5EDA"/>
    <w:rsid w:val="001D6C4E"/>
    <w:rsid w:val="001E22B3"/>
    <w:rsid w:val="001E3125"/>
    <w:rsid w:val="001E417F"/>
    <w:rsid w:val="001E485A"/>
    <w:rsid w:val="001E4CC7"/>
    <w:rsid w:val="001E6005"/>
    <w:rsid w:val="001E727E"/>
    <w:rsid w:val="001E7EF0"/>
    <w:rsid w:val="001F07B2"/>
    <w:rsid w:val="001F0AA6"/>
    <w:rsid w:val="001F0E9A"/>
    <w:rsid w:val="001F25A1"/>
    <w:rsid w:val="001F4537"/>
    <w:rsid w:val="00201BAD"/>
    <w:rsid w:val="00210D52"/>
    <w:rsid w:val="002135B1"/>
    <w:rsid w:val="0021392C"/>
    <w:rsid w:val="00214801"/>
    <w:rsid w:val="00214ED1"/>
    <w:rsid w:val="00215E5F"/>
    <w:rsid w:val="00220D0A"/>
    <w:rsid w:val="00220E9B"/>
    <w:rsid w:val="00222D1E"/>
    <w:rsid w:val="0022383E"/>
    <w:rsid w:val="002267A3"/>
    <w:rsid w:val="00227E9E"/>
    <w:rsid w:val="0023427F"/>
    <w:rsid w:val="002345FB"/>
    <w:rsid w:val="002346A0"/>
    <w:rsid w:val="00234950"/>
    <w:rsid w:val="00235868"/>
    <w:rsid w:val="00237443"/>
    <w:rsid w:val="0024389A"/>
    <w:rsid w:val="00244522"/>
    <w:rsid w:val="002474E4"/>
    <w:rsid w:val="00247D4E"/>
    <w:rsid w:val="00247F92"/>
    <w:rsid w:val="002524AA"/>
    <w:rsid w:val="00253113"/>
    <w:rsid w:val="00253119"/>
    <w:rsid w:val="00257164"/>
    <w:rsid w:val="002578B8"/>
    <w:rsid w:val="00261225"/>
    <w:rsid w:val="00263676"/>
    <w:rsid w:val="00263DFF"/>
    <w:rsid w:val="0026678D"/>
    <w:rsid w:val="00267A41"/>
    <w:rsid w:val="00267E3B"/>
    <w:rsid w:val="00267F8F"/>
    <w:rsid w:val="00270A7A"/>
    <w:rsid w:val="00271E25"/>
    <w:rsid w:val="0027221E"/>
    <w:rsid w:val="002734E1"/>
    <w:rsid w:val="00274363"/>
    <w:rsid w:val="00275B89"/>
    <w:rsid w:val="002767E5"/>
    <w:rsid w:val="00277097"/>
    <w:rsid w:val="00277907"/>
    <w:rsid w:val="00277A04"/>
    <w:rsid w:val="00280302"/>
    <w:rsid w:val="00281DD8"/>
    <w:rsid w:val="0028208E"/>
    <w:rsid w:val="002822BA"/>
    <w:rsid w:val="00283C71"/>
    <w:rsid w:val="00283C75"/>
    <w:rsid w:val="00290320"/>
    <w:rsid w:val="00290F56"/>
    <w:rsid w:val="002918E8"/>
    <w:rsid w:val="00291D41"/>
    <w:rsid w:val="002928DB"/>
    <w:rsid w:val="00296931"/>
    <w:rsid w:val="002A0203"/>
    <w:rsid w:val="002A03A8"/>
    <w:rsid w:val="002A09EE"/>
    <w:rsid w:val="002A18D1"/>
    <w:rsid w:val="002A1E91"/>
    <w:rsid w:val="002A2C0D"/>
    <w:rsid w:val="002A3292"/>
    <w:rsid w:val="002A351D"/>
    <w:rsid w:val="002A3A86"/>
    <w:rsid w:val="002A3DD0"/>
    <w:rsid w:val="002A501C"/>
    <w:rsid w:val="002A6DE2"/>
    <w:rsid w:val="002A77D7"/>
    <w:rsid w:val="002B109C"/>
    <w:rsid w:val="002B35AA"/>
    <w:rsid w:val="002B3977"/>
    <w:rsid w:val="002B6FC4"/>
    <w:rsid w:val="002B7474"/>
    <w:rsid w:val="002C16D3"/>
    <w:rsid w:val="002C3796"/>
    <w:rsid w:val="002C4196"/>
    <w:rsid w:val="002C482F"/>
    <w:rsid w:val="002C5356"/>
    <w:rsid w:val="002C59FD"/>
    <w:rsid w:val="002C6581"/>
    <w:rsid w:val="002C7567"/>
    <w:rsid w:val="002D1058"/>
    <w:rsid w:val="002D3AFF"/>
    <w:rsid w:val="002D4958"/>
    <w:rsid w:val="002D5781"/>
    <w:rsid w:val="002D6267"/>
    <w:rsid w:val="002D637D"/>
    <w:rsid w:val="002D71FE"/>
    <w:rsid w:val="002D7921"/>
    <w:rsid w:val="002E0CED"/>
    <w:rsid w:val="002E115F"/>
    <w:rsid w:val="002E3569"/>
    <w:rsid w:val="002E4007"/>
    <w:rsid w:val="002E4EFF"/>
    <w:rsid w:val="002E4FB1"/>
    <w:rsid w:val="002E5340"/>
    <w:rsid w:val="002E5C88"/>
    <w:rsid w:val="002E66B7"/>
    <w:rsid w:val="002F1D16"/>
    <w:rsid w:val="002F30B9"/>
    <w:rsid w:val="002F3210"/>
    <w:rsid w:val="002F4AF1"/>
    <w:rsid w:val="002F60DB"/>
    <w:rsid w:val="003006E7"/>
    <w:rsid w:val="00300C68"/>
    <w:rsid w:val="00302718"/>
    <w:rsid w:val="003059E8"/>
    <w:rsid w:val="00305A27"/>
    <w:rsid w:val="0030660B"/>
    <w:rsid w:val="0031004E"/>
    <w:rsid w:val="003108D3"/>
    <w:rsid w:val="003135E1"/>
    <w:rsid w:val="00313657"/>
    <w:rsid w:val="00315A73"/>
    <w:rsid w:val="00315E2F"/>
    <w:rsid w:val="00321030"/>
    <w:rsid w:val="003218D4"/>
    <w:rsid w:val="003219F2"/>
    <w:rsid w:val="0032276D"/>
    <w:rsid w:val="0032298A"/>
    <w:rsid w:val="00325446"/>
    <w:rsid w:val="00325CF6"/>
    <w:rsid w:val="00326455"/>
    <w:rsid w:val="00326867"/>
    <w:rsid w:val="00327570"/>
    <w:rsid w:val="00330040"/>
    <w:rsid w:val="003307E7"/>
    <w:rsid w:val="003321F2"/>
    <w:rsid w:val="00333713"/>
    <w:rsid w:val="00334712"/>
    <w:rsid w:val="003348C9"/>
    <w:rsid w:val="003350AF"/>
    <w:rsid w:val="00340774"/>
    <w:rsid w:val="003416CE"/>
    <w:rsid w:val="00343DC9"/>
    <w:rsid w:val="00346865"/>
    <w:rsid w:val="00350F56"/>
    <w:rsid w:val="00352C6F"/>
    <w:rsid w:val="0035330E"/>
    <w:rsid w:val="00354E70"/>
    <w:rsid w:val="003626CB"/>
    <w:rsid w:val="0036395D"/>
    <w:rsid w:val="00363A3A"/>
    <w:rsid w:val="00364241"/>
    <w:rsid w:val="00365825"/>
    <w:rsid w:val="00365D28"/>
    <w:rsid w:val="0036630C"/>
    <w:rsid w:val="00366317"/>
    <w:rsid w:val="0037393E"/>
    <w:rsid w:val="0037783F"/>
    <w:rsid w:val="003811B1"/>
    <w:rsid w:val="003816EC"/>
    <w:rsid w:val="00383392"/>
    <w:rsid w:val="00386B6C"/>
    <w:rsid w:val="00387042"/>
    <w:rsid w:val="003875B6"/>
    <w:rsid w:val="00391A51"/>
    <w:rsid w:val="00391EC0"/>
    <w:rsid w:val="00394975"/>
    <w:rsid w:val="00394BBA"/>
    <w:rsid w:val="00394CF3"/>
    <w:rsid w:val="00396E00"/>
    <w:rsid w:val="0039786E"/>
    <w:rsid w:val="003A36B4"/>
    <w:rsid w:val="003A46CC"/>
    <w:rsid w:val="003A55F8"/>
    <w:rsid w:val="003A5A5D"/>
    <w:rsid w:val="003A62CB"/>
    <w:rsid w:val="003A7DCB"/>
    <w:rsid w:val="003B0A25"/>
    <w:rsid w:val="003B0C73"/>
    <w:rsid w:val="003B382E"/>
    <w:rsid w:val="003B38A7"/>
    <w:rsid w:val="003B4B0E"/>
    <w:rsid w:val="003B634F"/>
    <w:rsid w:val="003B6681"/>
    <w:rsid w:val="003B77BD"/>
    <w:rsid w:val="003C40E6"/>
    <w:rsid w:val="003C5D0D"/>
    <w:rsid w:val="003C795B"/>
    <w:rsid w:val="003D09D8"/>
    <w:rsid w:val="003D1166"/>
    <w:rsid w:val="003D2899"/>
    <w:rsid w:val="003D3C68"/>
    <w:rsid w:val="003D42C6"/>
    <w:rsid w:val="003D58F1"/>
    <w:rsid w:val="003E0C9F"/>
    <w:rsid w:val="003E0CB1"/>
    <w:rsid w:val="003E1CEE"/>
    <w:rsid w:val="003E34E1"/>
    <w:rsid w:val="003E3D87"/>
    <w:rsid w:val="003E4C50"/>
    <w:rsid w:val="003E4C70"/>
    <w:rsid w:val="003E4EB1"/>
    <w:rsid w:val="003E65E1"/>
    <w:rsid w:val="003E743D"/>
    <w:rsid w:val="003F0E62"/>
    <w:rsid w:val="003F3DE3"/>
    <w:rsid w:val="003F55B6"/>
    <w:rsid w:val="003F76DE"/>
    <w:rsid w:val="00405273"/>
    <w:rsid w:val="004052D8"/>
    <w:rsid w:val="00405959"/>
    <w:rsid w:val="00410447"/>
    <w:rsid w:val="00414DBE"/>
    <w:rsid w:val="00415606"/>
    <w:rsid w:val="00417431"/>
    <w:rsid w:val="00421533"/>
    <w:rsid w:val="00421596"/>
    <w:rsid w:val="00424E57"/>
    <w:rsid w:val="0042503D"/>
    <w:rsid w:val="00425781"/>
    <w:rsid w:val="00425962"/>
    <w:rsid w:val="00426492"/>
    <w:rsid w:val="00431020"/>
    <w:rsid w:val="004323C2"/>
    <w:rsid w:val="00432795"/>
    <w:rsid w:val="00433AA1"/>
    <w:rsid w:val="00442270"/>
    <w:rsid w:val="00442A07"/>
    <w:rsid w:val="004475E4"/>
    <w:rsid w:val="00447C65"/>
    <w:rsid w:val="00447F80"/>
    <w:rsid w:val="00451501"/>
    <w:rsid w:val="00451CE6"/>
    <w:rsid w:val="004528D6"/>
    <w:rsid w:val="004533FD"/>
    <w:rsid w:val="00453799"/>
    <w:rsid w:val="00456350"/>
    <w:rsid w:val="00460B9A"/>
    <w:rsid w:val="00463310"/>
    <w:rsid w:val="00464953"/>
    <w:rsid w:val="00465DBB"/>
    <w:rsid w:val="004671DA"/>
    <w:rsid w:val="004672AC"/>
    <w:rsid w:val="00470902"/>
    <w:rsid w:val="0047237E"/>
    <w:rsid w:val="00472A0F"/>
    <w:rsid w:val="0047302F"/>
    <w:rsid w:val="00481AD1"/>
    <w:rsid w:val="004866FB"/>
    <w:rsid w:val="00487350"/>
    <w:rsid w:val="00490507"/>
    <w:rsid w:val="00490CAD"/>
    <w:rsid w:val="00491E29"/>
    <w:rsid w:val="004961BB"/>
    <w:rsid w:val="004970D6"/>
    <w:rsid w:val="004979E1"/>
    <w:rsid w:val="004A07B6"/>
    <w:rsid w:val="004A0B8B"/>
    <w:rsid w:val="004A36BC"/>
    <w:rsid w:val="004A4994"/>
    <w:rsid w:val="004A4F18"/>
    <w:rsid w:val="004A6CE9"/>
    <w:rsid w:val="004B15F0"/>
    <w:rsid w:val="004B17DC"/>
    <w:rsid w:val="004B4B2D"/>
    <w:rsid w:val="004B4F4F"/>
    <w:rsid w:val="004B573E"/>
    <w:rsid w:val="004B6F1D"/>
    <w:rsid w:val="004C00D2"/>
    <w:rsid w:val="004C1C4D"/>
    <w:rsid w:val="004C22BB"/>
    <w:rsid w:val="004C2626"/>
    <w:rsid w:val="004C283F"/>
    <w:rsid w:val="004C3633"/>
    <w:rsid w:val="004C4208"/>
    <w:rsid w:val="004C52A6"/>
    <w:rsid w:val="004C6D02"/>
    <w:rsid w:val="004D07A3"/>
    <w:rsid w:val="004D0F2F"/>
    <w:rsid w:val="004D228C"/>
    <w:rsid w:val="004D3311"/>
    <w:rsid w:val="004D34CC"/>
    <w:rsid w:val="004D5EE1"/>
    <w:rsid w:val="004E3926"/>
    <w:rsid w:val="004E47A9"/>
    <w:rsid w:val="004F243C"/>
    <w:rsid w:val="004F2D24"/>
    <w:rsid w:val="004F4F4A"/>
    <w:rsid w:val="004F589C"/>
    <w:rsid w:val="004F5A89"/>
    <w:rsid w:val="004F7221"/>
    <w:rsid w:val="004F793C"/>
    <w:rsid w:val="005001EC"/>
    <w:rsid w:val="005010DA"/>
    <w:rsid w:val="00502E60"/>
    <w:rsid w:val="005059F8"/>
    <w:rsid w:val="00506C3A"/>
    <w:rsid w:val="005107F5"/>
    <w:rsid w:val="00510A25"/>
    <w:rsid w:val="00511019"/>
    <w:rsid w:val="00511F5D"/>
    <w:rsid w:val="00513A7A"/>
    <w:rsid w:val="00514360"/>
    <w:rsid w:val="005149F9"/>
    <w:rsid w:val="00516099"/>
    <w:rsid w:val="0051670A"/>
    <w:rsid w:val="00516FCA"/>
    <w:rsid w:val="00520ADC"/>
    <w:rsid w:val="00520EBD"/>
    <w:rsid w:val="00522CA2"/>
    <w:rsid w:val="00522DCF"/>
    <w:rsid w:val="00522F1E"/>
    <w:rsid w:val="00527E35"/>
    <w:rsid w:val="00530305"/>
    <w:rsid w:val="00530FB6"/>
    <w:rsid w:val="00531A89"/>
    <w:rsid w:val="00531F2A"/>
    <w:rsid w:val="00532221"/>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97D"/>
    <w:rsid w:val="00556E20"/>
    <w:rsid w:val="005602EE"/>
    <w:rsid w:val="00560829"/>
    <w:rsid w:val="00561177"/>
    <w:rsid w:val="00562427"/>
    <w:rsid w:val="00563D16"/>
    <w:rsid w:val="005652C1"/>
    <w:rsid w:val="00565DF7"/>
    <w:rsid w:val="005672F2"/>
    <w:rsid w:val="00570089"/>
    <w:rsid w:val="005703D9"/>
    <w:rsid w:val="005734D4"/>
    <w:rsid w:val="005802F2"/>
    <w:rsid w:val="00580887"/>
    <w:rsid w:val="005837F4"/>
    <w:rsid w:val="0059034F"/>
    <w:rsid w:val="00591F1A"/>
    <w:rsid w:val="0059242D"/>
    <w:rsid w:val="00592591"/>
    <w:rsid w:val="00594064"/>
    <w:rsid w:val="00594228"/>
    <w:rsid w:val="0059655B"/>
    <w:rsid w:val="005A1497"/>
    <w:rsid w:val="005A330B"/>
    <w:rsid w:val="005A3514"/>
    <w:rsid w:val="005A4493"/>
    <w:rsid w:val="005A536F"/>
    <w:rsid w:val="005A53EC"/>
    <w:rsid w:val="005A6BE8"/>
    <w:rsid w:val="005B2328"/>
    <w:rsid w:val="005B458D"/>
    <w:rsid w:val="005B483D"/>
    <w:rsid w:val="005B5AD5"/>
    <w:rsid w:val="005B6A8A"/>
    <w:rsid w:val="005C03EB"/>
    <w:rsid w:val="005C11B6"/>
    <w:rsid w:val="005C14AC"/>
    <w:rsid w:val="005C38AB"/>
    <w:rsid w:val="005C4C7C"/>
    <w:rsid w:val="005C5693"/>
    <w:rsid w:val="005D3EB9"/>
    <w:rsid w:val="005D5DD6"/>
    <w:rsid w:val="005D7DDA"/>
    <w:rsid w:val="005D7E94"/>
    <w:rsid w:val="005E0399"/>
    <w:rsid w:val="005E2B30"/>
    <w:rsid w:val="005E3610"/>
    <w:rsid w:val="005E6D70"/>
    <w:rsid w:val="005F0649"/>
    <w:rsid w:val="005F0A9A"/>
    <w:rsid w:val="005F2A42"/>
    <w:rsid w:val="005F3006"/>
    <w:rsid w:val="005F563D"/>
    <w:rsid w:val="005F59F9"/>
    <w:rsid w:val="00601EEA"/>
    <w:rsid w:val="00602474"/>
    <w:rsid w:val="00602D56"/>
    <w:rsid w:val="006031E5"/>
    <w:rsid w:val="00604170"/>
    <w:rsid w:val="006054E9"/>
    <w:rsid w:val="006063FD"/>
    <w:rsid w:val="00607507"/>
    <w:rsid w:val="0061062C"/>
    <w:rsid w:val="006109CF"/>
    <w:rsid w:val="0061106D"/>
    <w:rsid w:val="00611480"/>
    <w:rsid w:val="00616F0E"/>
    <w:rsid w:val="00617AC0"/>
    <w:rsid w:val="006201ED"/>
    <w:rsid w:val="006208E7"/>
    <w:rsid w:val="0062134E"/>
    <w:rsid w:val="00622095"/>
    <w:rsid w:val="006225AE"/>
    <w:rsid w:val="006226CB"/>
    <w:rsid w:val="00622899"/>
    <w:rsid w:val="006232DD"/>
    <w:rsid w:val="00624737"/>
    <w:rsid w:val="00631B3A"/>
    <w:rsid w:val="0063358D"/>
    <w:rsid w:val="006377F0"/>
    <w:rsid w:val="00637DDF"/>
    <w:rsid w:val="0064055B"/>
    <w:rsid w:val="00641054"/>
    <w:rsid w:val="006411E8"/>
    <w:rsid w:val="00641CBE"/>
    <w:rsid w:val="00642CD8"/>
    <w:rsid w:val="006461DC"/>
    <w:rsid w:val="00650336"/>
    <w:rsid w:val="00651040"/>
    <w:rsid w:val="00652817"/>
    <w:rsid w:val="00654564"/>
    <w:rsid w:val="006549D3"/>
    <w:rsid w:val="0065595B"/>
    <w:rsid w:val="00656055"/>
    <w:rsid w:val="00656D23"/>
    <w:rsid w:val="006573DF"/>
    <w:rsid w:val="00657E34"/>
    <w:rsid w:val="00663E2A"/>
    <w:rsid w:val="00666242"/>
    <w:rsid w:val="00667914"/>
    <w:rsid w:val="00671323"/>
    <w:rsid w:val="006715D3"/>
    <w:rsid w:val="00675165"/>
    <w:rsid w:val="00675B77"/>
    <w:rsid w:val="006775BA"/>
    <w:rsid w:val="006803D3"/>
    <w:rsid w:val="006839B7"/>
    <w:rsid w:val="00684B24"/>
    <w:rsid w:val="00687379"/>
    <w:rsid w:val="00690476"/>
    <w:rsid w:val="00690753"/>
    <w:rsid w:val="00692DD4"/>
    <w:rsid w:val="006957EF"/>
    <w:rsid w:val="00696A7C"/>
    <w:rsid w:val="00696E0F"/>
    <w:rsid w:val="00697D1D"/>
    <w:rsid w:val="006A0088"/>
    <w:rsid w:val="006A17BD"/>
    <w:rsid w:val="006A2B5C"/>
    <w:rsid w:val="006A3CC4"/>
    <w:rsid w:val="006A4027"/>
    <w:rsid w:val="006A449F"/>
    <w:rsid w:val="006A567C"/>
    <w:rsid w:val="006A7810"/>
    <w:rsid w:val="006B0C6D"/>
    <w:rsid w:val="006B1F53"/>
    <w:rsid w:val="006B21CE"/>
    <w:rsid w:val="006B2614"/>
    <w:rsid w:val="006B3273"/>
    <w:rsid w:val="006B42B3"/>
    <w:rsid w:val="006B5303"/>
    <w:rsid w:val="006B6A38"/>
    <w:rsid w:val="006B73CA"/>
    <w:rsid w:val="006C210D"/>
    <w:rsid w:val="006C2D30"/>
    <w:rsid w:val="006C4F7E"/>
    <w:rsid w:val="006C7317"/>
    <w:rsid w:val="006C7B81"/>
    <w:rsid w:val="006D2EC4"/>
    <w:rsid w:val="006D4231"/>
    <w:rsid w:val="006D59AC"/>
    <w:rsid w:val="006D5E1C"/>
    <w:rsid w:val="006D7BB1"/>
    <w:rsid w:val="006E0B5B"/>
    <w:rsid w:val="006E0BEE"/>
    <w:rsid w:val="006E1B1E"/>
    <w:rsid w:val="006E1B23"/>
    <w:rsid w:val="006E286D"/>
    <w:rsid w:val="006E2DAF"/>
    <w:rsid w:val="006E349B"/>
    <w:rsid w:val="006E401C"/>
    <w:rsid w:val="006F4002"/>
    <w:rsid w:val="006F5DAD"/>
    <w:rsid w:val="006F5DD1"/>
    <w:rsid w:val="0070208A"/>
    <w:rsid w:val="0070294D"/>
    <w:rsid w:val="0071029A"/>
    <w:rsid w:val="00710F67"/>
    <w:rsid w:val="00713EFB"/>
    <w:rsid w:val="00716937"/>
    <w:rsid w:val="00717052"/>
    <w:rsid w:val="00717060"/>
    <w:rsid w:val="0072192C"/>
    <w:rsid w:val="007234A8"/>
    <w:rsid w:val="00724DE9"/>
    <w:rsid w:val="00726750"/>
    <w:rsid w:val="00727C82"/>
    <w:rsid w:val="00730B2B"/>
    <w:rsid w:val="00732D70"/>
    <w:rsid w:val="0073587D"/>
    <w:rsid w:val="00735E90"/>
    <w:rsid w:val="00736579"/>
    <w:rsid w:val="00737491"/>
    <w:rsid w:val="007423F7"/>
    <w:rsid w:val="007426D8"/>
    <w:rsid w:val="00743528"/>
    <w:rsid w:val="00744ED3"/>
    <w:rsid w:val="00745B0F"/>
    <w:rsid w:val="007468E3"/>
    <w:rsid w:val="00753FFD"/>
    <w:rsid w:val="00756E46"/>
    <w:rsid w:val="00757FB9"/>
    <w:rsid w:val="00760CD7"/>
    <w:rsid w:val="0076207A"/>
    <w:rsid w:val="00762F05"/>
    <w:rsid w:val="00763383"/>
    <w:rsid w:val="00770A24"/>
    <w:rsid w:val="00770CBB"/>
    <w:rsid w:val="007712F3"/>
    <w:rsid w:val="00772764"/>
    <w:rsid w:val="0077327C"/>
    <w:rsid w:val="0077399D"/>
    <w:rsid w:val="00777022"/>
    <w:rsid w:val="00781806"/>
    <w:rsid w:val="00782BD5"/>
    <w:rsid w:val="00782C66"/>
    <w:rsid w:val="00784105"/>
    <w:rsid w:val="0078440C"/>
    <w:rsid w:val="00784BFA"/>
    <w:rsid w:val="00785E83"/>
    <w:rsid w:val="007871E4"/>
    <w:rsid w:val="00787EDF"/>
    <w:rsid w:val="00791642"/>
    <w:rsid w:val="00795732"/>
    <w:rsid w:val="00796877"/>
    <w:rsid w:val="00796E53"/>
    <w:rsid w:val="00797100"/>
    <w:rsid w:val="007A0FF7"/>
    <w:rsid w:val="007A3424"/>
    <w:rsid w:val="007A3EA8"/>
    <w:rsid w:val="007A5DF9"/>
    <w:rsid w:val="007A796C"/>
    <w:rsid w:val="007A7D0A"/>
    <w:rsid w:val="007A7DEC"/>
    <w:rsid w:val="007B25C2"/>
    <w:rsid w:val="007B3106"/>
    <w:rsid w:val="007B5C1B"/>
    <w:rsid w:val="007B6105"/>
    <w:rsid w:val="007B6838"/>
    <w:rsid w:val="007C126F"/>
    <w:rsid w:val="007C2D50"/>
    <w:rsid w:val="007C580E"/>
    <w:rsid w:val="007C6727"/>
    <w:rsid w:val="007D06DE"/>
    <w:rsid w:val="007D249C"/>
    <w:rsid w:val="007D4A71"/>
    <w:rsid w:val="007D6351"/>
    <w:rsid w:val="007D74EE"/>
    <w:rsid w:val="007E1CBA"/>
    <w:rsid w:val="007E1FED"/>
    <w:rsid w:val="007E778D"/>
    <w:rsid w:val="007F0E6B"/>
    <w:rsid w:val="007F0F0E"/>
    <w:rsid w:val="007F158D"/>
    <w:rsid w:val="007F3B31"/>
    <w:rsid w:val="007F3C2F"/>
    <w:rsid w:val="007F3C40"/>
    <w:rsid w:val="007F4050"/>
    <w:rsid w:val="007F4E7D"/>
    <w:rsid w:val="007F6AD0"/>
    <w:rsid w:val="007F6B26"/>
    <w:rsid w:val="00800270"/>
    <w:rsid w:val="00802E4B"/>
    <w:rsid w:val="00803BE1"/>
    <w:rsid w:val="00806CFD"/>
    <w:rsid w:val="00807CBD"/>
    <w:rsid w:val="00811B44"/>
    <w:rsid w:val="00811EA0"/>
    <w:rsid w:val="008132C9"/>
    <w:rsid w:val="00813CEC"/>
    <w:rsid w:val="00814750"/>
    <w:rsid w:val="00814E3B"/>
    <w:rsid w:val="008150B9"/>
    <w:rsid w:val="00817D25"/>
    <w:rsid w:val="008208B2"/>
    <w:rsid w:val="0082179E"/>
    <w:rsid w:val="00821C3E"/>
    <w:rsid w:val="008226A3"/>
    <w:rsid w:val="00825E86"/>
    <w:rsid w:val="00831048"/>
    <w:rsid w:val="008321DE"/>
    <w:rsid w:val="008323A6"/>
    <w:rsid w:val="008334E2"/>
    <w:rsid w:val="00835168"/>
    <w:rsid w:val="00835636"/>
    <w:rsid w:val="00836278"/>
    <w:rsid w:val="00836C7F"/>
    <w:rsid w:val="00841E4A"/>
    <w:rsid w:val="00843752"/>
    <w:rsid w:val="00843FA3"/>
    <w:rsid w:val="008441C9"/>
    <w:rsid w:val="00846066"/>
    <w:rsid w:val="00846AEA"/>
    <w:rsid w:val="00846DAF"/>
    <w:rsid w:val="00850008"/>
    <w:rsid w:val="00853B6D"/>
    <w:rsid w:val="008544A3"/>
    <w:rsid w:val="008566C1"/>
    <w:rsid w:val="00856F7E"/>
    <w:rsid w:val="008572A8"/>
    <w:rsid w:val="00862413"/>
    <w:rsid w:val="00863696"/>
    <w:rsid w:val="008676D4"/>
    <w:rsid w:val="00867701"/>
    <w:rsid w:val="008707EB"/>
    <w:rsid w:val="008709D1"/>
    <w:rsid w:val="00871AAD"/>
    <w:rsid w:val="00874FCD"/>
    <w:rsid w:val="008759F7"/>
    <w:rsid w:val="00877C4D"/>
    <w:rsid w:val="00880E51"/>
    <w:rsid w:val="00882868"/>
    <w:rsid w:val="00882976"/>
    <w:rsid w:val="0088444B"/>
    <w:rsid w:val="00884BA7"/>
    <w:rsid w:val="00885F34"/>
    <w:rsid w:val="00886A5B"/>
    <w:rsid w:val="00886C3A"/>
    <w:rsid w:val="00887C6E"/>
    <w:rsid w:val="00892B1C"/>
    <w:rsid w:val="0089452B"/>
    <w:rsid w:val="00894832"/>
    <w:rsid w:val="008A1F5D"/>
    <w:rsid w:val="008A24EE"/>
    <w:rsid w:val="008A2F38"/>
    <w:rsid w:val="008A301D"/>
    <w:rsid w:val="008A426C"/>
    <w:rsid w:val="008A4F1C"/>
    <w:rsid w:val="008A4FCE"/>
    <w:rsid w:val="008A5C96"/>
    <w:rsid w:val="008A6E38"/>
    <w:rsid w:val="008B105C"/>
    <w:rsid w:val="008B1FD7"/>
    <w:rsid w:val="008B2454"/>
    <w:rsid w:val="008B30EB"/>
    <w:rsid w:val="008B43A1"/>
    <w:rsid w:val="008B4F66"/>
    <w:rsid w:val="008B516F"/>
    <w:rsid w:val="008B63B8"/>
    <w:rsid w:val="008B74B7"/>
    <w:rsid w:val="008B79D7"/>
    <w:rsid w:val="008C0344"/>
    <w:rsid w:val="008C1706"/>
    <w:rsid w:val="008C21E6"/>
    <w:rsid w:val="008C31A8"/>
    <w:rsid w:val="008C335A"/>
    <w:rsid w:val="008C3748"/>
    <w:rsid w:val="008C4122"/>
    <w:rsid w:val="008C4E81"/>
    <w:rsid w:val="008C65BD"/>
    <w:rsid w:val="008C737B"/>
    <w:rsid w:val="008C7719"/>
    <w:rsid w:val="008D321F"/>
    <w:rsid w:val="008D393E"/>
    <w:rsid w:val="008D4B18"/>
    <w:rsid w:val="008D4FF6"/>
    <w:rsid w:val="008D5152"/>
    <w:rsid w:val="008D5D96"/>
    <w:rsid w:val="008D6E36"/>
    <w:rsid w:val="008D6F3B"/>
    <w:rsid w:val="008E0918"/>
    <w:rsid w:val="008E0C08"/>
    <w:rsid w:val="008E11C5"/>
    <w:rsid w:val="008E50BB"/>
    <w:rsid w:val="008E513E"/>
    <w:rsid w:val="008E5502"/>
    <w:rsid w:val="008E697B"/>
    <w:rsid w:val="008E6C28"/>
    <w:rsid w:val="008F0D20"/>
    <w:rsid w:val="008F20C4"/>
    <w:rsid w:val="008F279B"/>
    <w:rsid w:val="008F44ED"/>
    <w:rsid w:val="008F4954"/>
    <w:rsid w:val="008F696D"/>
    <w:rsid w:val="008F6EFB"/>
    <w:rsid w:val="00900BA3"/>
    <w:rsid w:val="00902298"/>
    <w:rsid w:val="009028CB"/>
    <w:rsid w:val="00902AC0"/>
    <w:rsid w:val="00903111"/>
    <w:rsid w:val="00906E4C"/>
    <w:rsid w:val="00910863"/>
    <w:rsid w:val="009113C7"/>
    <w:rsid w:val="009129EB"/>
    <w:rsid w:val="0091448B"/>
    <w:rsid w:val="00914EC4"/>
    <w:rsid w:val="00915BF8"/>
    <w:rsid w:val="00917036"/>
    <w:rsid w:val="00920951"/>
    <w:rsid w:val="00920B7D"/>
    <w:rsid w:val="00920F5E"/>
    <w:rsid w:val="009215EC"/>
    <w:rsid w:val="00923E0B"/>
    <w:rsid w:val="0092413A"/>
    <w:rsid w:val="009242B9"/>
    <w:rsid w:val="00925B14"/>
    <w:rsid w:val="00925BB5"/>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4499"/>
    <w:rsid w:val="00954D99"/>
    <w:rsid w:val="009554C0"/>
    <w:rsid w:val="00956265"/>
    <w:rsid w:val="00956464"/>
    <w:rsid w:val="00957B05"/>
    <w:rsid w:val="00957BD8"/>
    <w:rsid w:val="00961639"/>
    <w:rsid w:val="00962629"/>
    <w:rsid w:val="009632D9"/>
    <w:rsid w:val="00963C08"/>
    <w:rsid w:val="0096401E"/>
    <w:rsid w:val="00964D82"/>
    <w:rsid w:val="009652E6"/>
    <w:rsid w:val="009677B6"/>
    <w:rsid w:val="00967ED5"/>
    <w:rsid w:val="00971041"/>
    <w:rsid w:val="00975679"/>
    <w:rsid w:val="00980C35"/>
    <w:rsid w:val="00981DEE"/>
    <w:rsid w:val="009837B1"/>
    <w:rsid w:val="0098497E"/>
    <w:rsid w:val="00990E77"/>
    <w:rsid w:val="00991C0D"/>
    <w:rsid w:val="009930C6"/>
    <w:rsid w:val="00994E2D"/>
    <w:rsid w:val="00996E68"/>
    <w:rsid w:val="009974F8"/>
    <w:rsid w:val="009A0181"/>
    <w:rsid w:val="009A0AA5"/>
    <w:rsid w:val="009A1BDA"/>
    <w:rsid w:val="009A29DA"/>
    <w:rsid w:val="009A2CC4"/>
    <w:rsid w:val="009A4411"/>
    <w:rsid w:val="009A45BC"/>
    <w:rsid w:val="009A49D9"/>
    <w:rsid w:val="009A71EE"/>
    <w:rsid w:val="009A75A9"/>
    <w:rsid w:val="009B36E3"/>
    <w:rsid w:val="009B370C"/>
    <w:rsid w:val="009B41C1"/>
    <w:rsid w:val="009B4D52"/>
    <w:rsid w:val="009C0024"/>
    <w:rsid w:val="009C0A9F"/>
    <w:rsid w:val="009C1250"/>
    <w:rsid w:val="009C183C"/>
    <w:rsid w:val="009C1E43"/>
    <w:rsid w:val="009C33F5"/>
    <w:rsid w:val="009C3A54"/>
    <w:rsid w:val="009C449A"/>
    <w:rsid w:val="009C4C42"/>
    <w:rsid w:val="009C5341"/>
    <w:rsid w:val="009C760E"/>
    <w:rsid w:val="009D070D"/>
    <w:rsid w:val="009D2B1C"/>
    <w:rsid w:val="009D306C"/>
    <w:rsid w:val="009D3EDF"/>
    <w:rsid w:val="009D4341"/>
    <w:rsid w:val="009D4688"/>
    <w:rsid w:val="009D5A55"/>
    <w:rsid w:val="009D634A"/>
    <w:rsid w:val="009D6A96"/>
    <w:rsid w:val="009D6EAC"/>
    <w:rsid w:val="009D78DE"/>
    <w:rsid w:val="009E0066"/>
    <w:rsid w:val="009E21B7"/>
    <w:rsid w:val="009E3967"/>
    <w:rsid w:val="009E4733"/>
    <w:rsid w:val="009E6314"/>
    <w:rsid w:val="009E65C2"/>
    <w:rsid w:val="009E7327"/>
    <w:rsid w:val="009E7619"/>
    <w:rsid w:val="009F034D"/>
    <w:rsid w:val="009F07EA"/>
    <w:rsid w:val="009F0848"/>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271"/>
    <w:rsid w:val="00A307B2"/>
    <w:rsid w:val="00A3080D"/>
    <w:rsid w:val="00A32770"/>
    <w:rsid w:val="00A32D45"/>
    <w:rsid w:val="00A33695"/>
    <w:rsid w:val="00A33840"/>
    <w:rsid w:val="00A33DBA"/>
    <w:rsid w:val="00A34966"/>
    <w:rsid w:val="00A408EA"/>
    <w:rsid w:val="00A409DD"/>
    <w:rsid w:val="00A43A8C"/>
    <w:rsid w:val="00A47041"/>
    <w:rsid w:val="00A47E62"/>
    <w:rsid w:val="00A50D4E"/>
    <w:rsid w:val="00A5127C"/>
    <w:rsid w:val="00A55927"/>
    <w:rsid w:val="00A56F0B"/>
    <w:rsid w:val="00A60CC4"/>
    <w:rsid w:val="00A62A44"/>
    <w:rsid w:val="00A62F9A"/>
    <w:rsid w:val="00A63984"/>
    <w:rsid w:val="00A64688"/>
    <w:rsid w:val="00A64CC1"/>
    <w:rsid w:val="00A67398"/>
    <w:rsid w:val="00A70380"/>
    <w:rsid w:val="00A71014"/>
    <w:rsid w:val="00A71B89"/>
    <w:rsid w:val="00A7307E"/>
    <w:rsid w:val="00A742E7"/>
    <w:rsid w:val="00A75E7D"/>
    <w:rsid w:val="00A76229"/>
    <w:rsid w:val="00A772A7"/>
    <w:rsid w:val="00A80129"/>
    <w:rsid w:val="00A80EC4"/>
    <w:rsid w:val="00A814A4"/>
    <w:rsid w:val="00A834FF"/>
    <w:rsid w:val="00A844AF"/>
    <w:rsid w:val="00A850B0"/>
    <w:rsid w:val="00A86ACD"/>
    <w:rsid w:val="00A8727C"/>
    <w:rsid w:val="00A87D18"/>
    <w:rsid w:val="00A913E7"/>
    <w:rsid w:val="00A9462E"/>
    <w:rsid w:val="00A95E6D"/>
    <w:rsid w:val="00AA0728"/>
    <w:rsid w:val="00AA1B74"/>
    <w:rsid w:val="00AA20AC"/>
    <w:rsid w:val="00AA3323"/>
    <w:rsid w:val="00AA76AE"/>
    <w:rsid w:val="00AB0570"/>
    <w:rsid w:val="00AB0E9A"/>
    <w:rsid w:val="00AB0EBD"/>
    <w:rsid w:val="00AB1B90"/>
    <w:rsid w:val="00AB2899"/>
    <w:rsid w:val="00AB4059"/>
    <w:rsid w:val="00AB4388"/>
    <w:rsid w:val="00AB5928"/>
    <w:rsid w:val="00AB5CBE"/>
    <w:rsid w:val="00AC08F6"/>
    <w:rsid w:val="00AC0E9B"/>
    <w:rsid w:val="00AC24DC"/>
    <w:rsid w:val="00AC2986"/>
    <w:rsid w:val="00AC2E98"/>
    <w:rsid w:val="00AC67F1"/>
    <w:rsid w:val="00AC729D"/>
    <w:rsid w:val="00AD1A8A"/>
    <w:rsid w:val="00AD491B"/>
    <w:rsid w:val="00AE062D"/>
    <w:rsid w:val="00AE1BFE"/>
    <w:rsid w:val="00AE2123"/>
    <w:rsid w:val="00AE216F"/>
    <w:rsid w:val="00AE22F5"/>
    <w:rsid w:val="00AE3BC9"/>
    <w:rsid w:val="00AE3ED1"/>
    <w:rsid w:val="00AE476B"/>
    <w:rsid w:val="00AE50AD"/>
    <w:rsid w:val="00AE6843"/>
    <w:rsid w:val="00AF4AF2"/>
    <w:rsid w:val="00AF5B56"/>
    <w:rsid w:val="00B0026F"/>
    <w:rsid w:val="00B02031"/>
    <w:rsid w:val="00B02322"/>
    <w:rsid w:val="00B028EF"/>
    <w:rsid w:val="00B0660A"/>
    <w:rsid w:val="00B06F0A"/>
    <w:rsid w:val="00B07864"/>
    <w:rsid w:val="00B10F0A"/>
    <w:rsid w:val="00B12B07"/>
    <w:rsid w:val="00B13675"/>
    <w:rsid w:val="00B14367"/>
    <w:rsid w:val="00B1681E"/>
    <w:rsid w:val="00B16B94"/>
    <w:rsid w:val="00B1743E"/>
    <w:rsid w:val="00B17C06"/>
    <w:rsid w:val="00B21BF4"/>
    <w:rsid w:val="00B23125"/>
    <w:rsid w:val="00B236CE"/>
    <w:rsid w:val="00B2378B"/>
    <w:rsid w:val="00B34BEF"/>
    <w:rsid w:val="00B3578F"/>
    <w:rsid w:val="00B36058"/>
    <w:rsid w:val="00B36BCD"/>
    <w:rsid w:val="00B406F6"/>
    <w:rsid w:val="00B42B6E"/>
    <w:rsid w:val="00B45707"/>
    <w:rsid w:val="00B4636D"/>
    <w:rsid w:val="00B50DB1"/>
    <w:rsid w:val="00B53E16"/>
    <w:rsid w:val="00B55F81"/>
    <w:rsid w:val="00B5683E"/>
    <w:rsid w:val="00B56DD4"/>
    <w:rsid w:val="00B57979"/>
    <w:rsid w:val="00B57C56"/>
    <w:rsid w:val="00B57CAF"/>
    <w:rsid w:val="00B57F4C"/>
    <w:rsid w:val="00B60DE9"/>
    <w:rsid w:val="00B637A8"/>
    <w:rsid w:val="00B63BF2"/>
    <w:rsid w:val="00B63BFC"/>
    <w:rsid w:val="00B6681B"/>
    <w:rsid w:val="00B67E26"/>
    <w:rsid w:val="00B71EC4"/>
    <w:rsid w:val="00B72437"/>
    <w:rsid w:val="00B72D38"/>
    <w:rsid w:val="00B73C02"/>
    <w:rsid w:val="00B74433"/>
    <w:rsid w:val="00B74BCA"/>
    <w:rsid w:val="00B751C6"/>
    <w:rsid w:val="00B752F1"/>
    <w:rsid w:val="00B756C8"/>
    <w:rsid w:val="00B76843"/>
    <w:rsid w:val="00B77473"/>
    <w:rsid w:val="00B801DA"/>
    <w:rsid w:val="00B80FC5"/>
    <w:rsid w:val="00B81CF2"/>
    <w:rsid w:val="00B81DFC"/>
    <w:rsid w:val="00B83345"/>
    <w:rsid w:val="00B83E72"/>
    <w:rsid w:val="00B83EC5"/>
    <w:rsid w:val="00B85FED"/>
    <w:rsid w:val="00B86F4F"/>
    <w:rsid w:val="00B90034"/>
    <w:rsid w:val="00B913A7"/>
    <w:rsid w:val="00B92491"/>
    <w:rsid w:val="00B941A5"/>
    <w:rsid w:val="00B9555A"/>
    <w:rsid w:val="00BA017E"/>
    <w:rsid w:val="00BA0BBC"/>
    <w:rsid w:val="00BA18AB"/>
    <w:rsid w:val="00BA479D"/>
    <w:rsid w:val="00BA521C"/>
    <w:rsid w:val="00BA613A"/>
    <w:rsid w:val="00BB23DE"/>
    <w:rsid w:val="00BB3B1A"/>
    <w:rsid w:val="00BB4605"/>
    <w:rsid w:val="00BB4615"/>
    <w:rsid w:val="00BB5620"/>
    <w:rsid w:val="00BC0F0D"/>
    <w:rsid w:val="00BC2003"/>
    <w:rsid w:val="00BC35EA"/>
    <w:rsid w:val="00BC3F45"/>
    <w:rsid w:val="00BC5A58"/>
    <w:rsid w:val="00BD1DB6"/>
    <w:rsid w:val="00BD33A6"/>
    <w:rsid w:val="00BD3C60"/>
    <w:rsid w:val="00BD5ED1"/>
    <w:rsid w:val="00BD6097"/>
    <w:rsid w:val="00BD6692"/>
    <w:rsid w:val="00BD7FC9"/>
    <w:rsid w:val="00BE1183"/>
    <w:rsid w:val="00BE21CC"/>
    <w:rsid w:val="00BE3503"/>
    <w:rsid w:val="00BE49A6"/>
    <w:rsid w:val="00BE57E4"/>
    <w:rsid w:val="00BF09E5"/>
    <w:rsid w:val="00BF2D73"/>
    <w:rsid w:val="00BF3B3C"/>
    <w:rsid w:val="00BF4841"/>
    <w:rsid w:val="00BF5930"/>
    <w:rsid w:val="00C029A5"/>
    <w:rsid w:val="00C029F0"/>
    <w:rsid w:val="00C02BC4"/>
    <w:rsid w:val="00C03BCA"/>
    <w:rsid w:val="00C05A82"/>
    <w:rsid w:val="00C10824"/>
    <w:rsid w:val="00C143F0"/>
    <w:rsid w:val="00C151AC"/>
    <w:rsid w:val="00C15316"/>
    <w:rsid w:val="00C15390"/>
    <w:rsid w:val="00C16288"/>
    <w:rsid w:val="00C162CC"/>
    <w:rsid w:val="00C1787A"/>
    <w:rsid w:val="00C22D70"/>
    <w:rsid w:val="00C25D17"/>
    <w:rsid w:val="00C26F63"/>
    <w:rsid w:val="00C27319"/>
    <w:rsid w:val="00C30A1A"/>
    <w:rsid w:val="00C34421"/>
    <w:rsid w:val="00C37DF8"/>
    <w:rsid w:val="00C37EBE"/>
    <w:rsid w:val="00C4069A"/>
    <w:rsid w:val="00C428F9"/>
    <w:rsid w:val="00C43082"/>
    <w:rsid w:val="00C44510"/>
    <w:rsid w:val="00C4517D"/>
    <w:rsid w:val="00C45AF1"/>
    <w:rsid w:val="00C460E7"/>
    <w:rsid w:val="00C479C2"/>
    <w:rsid w:val="00C51A09"/>
    <w:rsid w:val="00C5336D"/>
    <w:rsid w:val="00C53823"/>
    <w:rsid w:val="00C5556E"/>
    <w:rsid w:val="00C557EF"/>
    <w:rsid w:val="00C566BC"/>
    <w:rsid w:val="00C56C40"/>
    <w:rsid w:val="00C60316"/>
    <w:rsid w:val="00C620F1"/>
    <w:rsid w:val="00C62BE1"/>
    <w:rsid w:val="00C64265"/>
    <w:rsid w:val="00C650F9"/>
    <w:rsid w:val="00C700F5"/>
    <w:rsid w:val="00C71064"/>
    <w:rsid w:val="00C74127"/>
    <w:rsid w:val="00C74BF6"/>
    <w:rsid w:val="00C7650B"/>
    <w:rsid w:val="00C7747C"/>
    <w:rsid w:val="00C82296"/>
    <w:rsid w:val="00C836E1"/>
    <w:rsid w:val="00C85A16"/>
    <w:rsid w:val="00C85B55"/>
    <w:rsid w:val="00C85F21"/>
    <w:rsid w:val="00C868B1"/>
    <w:rsid w:val="00C90108"/>
    <w:rsid w:val="00C91973"/>
    <w:rsid w:val="00C92242"/>
    <w:rsid w:val="00C924A3"/>
    <w:rsid w:val="00C94ABC"/>
    <w:rsid w:val="00C9525E"/>
    <w:rsid w:val="00C96500"/>
    <w:rsid w:val="00CA03DB"/>
    <w:rsid w:val="00CA12D4"/>
    <w:rsid w:val="00CA1807"/>
    <w:rsid w:val="00CA4D95"/>
    <w:rsid w:val="00CA6E44"/>
    <w:rsid w:val="00CB0393"/>
    <w:rsid w:val="00CB06A1"/>
    <w:rsid w:val="00CB1B68"/>
    <w:rsid w:val="00CB1C1E"/>
    <w:rsid w:val="00CB3ECF"/>
    <w:rsid w:val="00CB5342"/>
    <w:rsid w:val="00CB5E6D"/>
    <w:rsid w:val="00CC0550"/>
    <w:rsid w:val="00CC25DA"/>
    <w:rsid w:val="00CC274F"/>
    <w:rsid w:val="00CC34A1"/>
    <w:rsid w:val="00CC35AE"/>
    <w:rsid w:val="00CC3E43"/>
    <w:rsid w:val="00CC68D1"/>
    <w:rsid w:val="00CD0A2C"/>
    <w:rsid w:val="00CD156D"/>
    <w:rsid w:val="00CD3CC1"/>
    <w:rsid w:val="00CD5AFE"/>
    <w:rsid w:val="00CD5C1D"/>
    <w:rsid w:val="00CD7B14"/>
    <w:rsid w:val="00CD7BD0"/>
    <w:rsid w:val="00CE019C"/>
    <w:rsid w:val="00CE0408"/>
    <w:rsid w:val="00CE14DE"/>
    <w:rsid w:val="00CE42AC"/>
    <w:rsid w:val="00CE558F"/>
    <w:rsid w:val="00CE6A7E"/>
    <w:rsid w:val="00CE7EE3"/>
    <w:rsid w:val="00CF0CA8"/>
    <w:rsid w:val="00CF214A"/>
    <w:rsid w:val="00CF39EC"/>
    <w:rsid w:val="00CF4564"/>
    <w:rsid w:val="00CF5DC0"/>
    <w:rsid w:val="00CF6118"/>
    <w:rsid w:val="00D00CE2"/>
    <w:rsid w:val="00D02427"/>
    <w:rsid w:val="00D02E27"/>
    <w:rsid w:val="00D03FF9"/>
    <w:rsid w:val="00D04825"/>
    <w:rsid w:val="00D07DEC"/>
    <w:rsid w:val="00D12059"/>
    <w:rsid w:val="00D12E3E"/>
    <w:rsid w:val="00D13931"/>
    <w:rsid w:val="00D14360"/>
    <w:rsid w:val="00D21860"/>
    <w:rsid w:val="00D21FDD"/>
    <w:rsid w:val="00D22B6E"/>
    <w:rsid w:val="00D237C4"/>
    <w:rsid w:val="00D25BD0"/>
    <w:rsid w:val="00D311BD"/>
    <w:rsid w:val="00D31557"/>
    <w:rsid w:val="00D317E1"/>
    <w:rsid w:val="00D3438A"/>
    <w:rsid w:val="00D368EE"/>
    <w:rsid w:val="00D37069"/>
    <w:rsid w:val="00D41390"/>
    <w:rsid w:val="00D41E1D"/>
    <w:rsid w:val="00D50679"/>
    <w:rsid w:val="00D53429"/>
    <w:rsid w:val="00D55058"/>
    <w:rsid w:val="00D55848"/>
    <w:rsid w:val="00D565E0"/>
    <w:rsid w:val="00D62B3A"/>
    <w:rsid w:val="00D632A2"/>
    <w:rsid w:val="00D63524"/>
    <w:rsid w:val="00D636D5"/>
    <w:rsid w:val="00D66B17"/>
    <w:rsid w:val="00D739DC"/>
    <w:rsid w:val="00D74347"/>
    <w:rsid w:val="00D74F49"/>
    <w:rsid w:val="00D760E6"/>
    <w:rsid w:val="00D76295"/>
    <w:rsid w:val="00D763D9"/>
    <w:rsid w:val="00D80B89"/>
    <w:rsid w:val="00D80E98"/>
    <w:rsid w:val="00D81285"/>
    <w:rsid w:val="00D81A94"/>
    <w:rsid w:val="00D82EA9"/>
    <w:rsid w:val="00D84332"/>
    <w:rsid w:val="00D8469E"/>
    <w:rsid w:val="00D84899"/>
    <w:rsid w:val="00D86FB3"/>
    <w:rsid w:val="00D877CB"/>
    <w:rsid w:val="00D90F07"/>
    <w:rsid w:val="00D92F2E"/>
    <w:rsid w:val="00D94092"/>
    <w:rsid w:val="00D96124"/>
    <w:rsid w:val="00D97C48"/>
    <w:rsid w:val="00DA15D9"/>
    <w:rsid w:val="00DA2863"/>
    <w:rsid w:val="00DA3850"/>
    <w:rsid w:val="00DA420C"/>
    <w:rsid w:val="00DA486D"/>
    <w:rsid w:val="00DA518D"/>
    <w:rsid w:val="00DB0194"/>
    <w:rsid w:val="00DB11EF"/>
    <w:rsid w:val="00DB2982"/>
    <w:rsid w:val="00DB368D"/>
    <w:rsid w:val="00DB3CCE"/>
    <w:rsid w:val="00DB6632"/>
    <w:rsid w:val="00DB6C67"/>
    <w:rsid w:val="00DB6FF3"/>
    <w:rsid w:val="00DC1BB5"/>
    <w:rsid w:val="00DC2CF4"/>
    <w:rsid w:val="00DC7721"/>
    <w:rsid w:val="00DD08C9"/>
    <w:rsid w:val="00DD4D1E"/>
    <w:rsid w:val="00DD534F"/>
    <w:rsid w:val="00DD5730"/>
    <w:rsid w:val="00DD5DD5"/>
    <w:rsid w:val="00DD6970"/>
    <w:rsid w:val="00DD6C57"/>
    <w:rsid w:val="00DE081C"/>
    <w:rsid w:val="00DE0967"/>
    <w:rsid w:val="00DE1A9A"/>
    <w:rsid w:val="00DE3687"/>
    <w:rsid w:val="00DE6416"/>
    <w:rsid w:val="00DE650E"/>
    <w:rsid w:val="00DF0E10"/>
    <w:rsid w:val="00DF183E"/>
    <w:rsid w:val="00DF24C5"/>
    <w:rsid w:val="00DF300F"/>
    <w:rsid w:val="00DF44FF"/>
    <w:rsid w:val="00DF4ECD"/>
    <w:rsid w:val="00DF68C8"/>
    <w:rsid w:val="00E007F5"/>
    <w:rsid w:val="00E00E10"/>
    <w:rsid w:val="00E016F2"/>
    <w:rsid w:val="00E01C66"/>
    <w:rsid w:val="00E01CDC"/>
    <w:rsid w:val="00E03947"/>
    <w:rsid w:val="00E046F4"/>
    <w:rsid w:val="00E049F3"/>
    <w:rsid w:val="00E06CD4"/>
    <w:rsid w:val="00E06DE5"/>
    <w:rsid w:val="00E072C8"/>
    <w:rsid w:val="00E11F6A"/>
    <w:rsid w:val="00E128A8"/>
    <w:rsid w:val="00E148FD"/>
    <w:rsid w:val="00E14D91"/>
    <w:rsid w:val="00E1557C"/>
    <w:rsid w:val="00E17A6E"/>
    <w:rsid w:val="00E2033F"/>
    <w:rsid w:val="00E25992"/>
    <w:rsid w:val="00E27B55"/>
    <w:rsid w:val="00E27D2F"/>
    <w:rsid w:val="00E309E8"/>
    <w:rsid w:val="00E30FBA"/>
    <w:rsid w:val="00E33FA3"/>
    <w:rsid w:val="00E34346"/>
    <w:rsid w:val="00E3540A"/>
    <w:rsid w:val="00E36250"/>
    <w:rsid w:val="00E37841"/>
    <w:rsid w:val="00E40444"/>
    <w:rsid w:val="00E410E1"/>
    <w:rsid w:val="00E418A6"/>
    <w:rsid w:val="00E435DF"/>
    <w:rsid w:val="00E43DD2"/>
    <w:rsid w:val="00E4700D"/>
    <w:rsid w:val="00E47965"/>
    <w:rsid w:val="00E5113F"/>
    <w:rsid w:val="00E52BF2"/>
    <w:rsid w:val="00E5535E"/>
    <w:rsid w:val="00E559FA"/>
    <w:rsid w:val="00E56CB8"/>
    <w:rsid w:val="00E57047"/>
    <w:rsid w:val="00E570CC"/>
    <w:rsid w:val="00E57BDA"/>
    <w:rsid w:val="00E57F56"/>
    <w:rsid w:val="00E605EA"/>
    <w:rsid w:val="00E60F9F"/>
    <w:rsid w:val="00E61A7C"/>
    <w:rsid w:val="00E61F8F"/>
    <w:rsid w:val="00E62ADD"/>
    <w:rsid w:val="00E62E4F"/>
    <w:rsid w:val="00E630AF"/>
    <w:rsid w:val="00E644C2"/>
    <w:rsid w:val="00E64FE0"/>
    <w:rsid w:val="00E653BD"/>
    <w:rsid w:val="00E6598B"/>
    <w:rsid w:val="00E65B5D"/>
    <w:rsid w:val="00E65E00"/>
    <w:rsid w:val="00E66027"/>
    <w:rsid w:val="00E6630C"/>
    <w:rsid w:val="00E71A72"/>
    <w:rsid w:val="00E729AE"/>
    <w:rsid w:val="00E74525"/>
    <w:rsid w:val="00E7457D"/>
    <w:rsid w:val="00E759D7"/>
    <w:rsid w:val="00E775EA"/>
    <w:rsid w:val="00E83281"/>
    <w:rsid w:val="00E87ECF"/>
    <w:rsid w:val="00E91076"/>
    <w:rsid w:val="00E926FA"/>
    <w:rsid w:val="00E92B22"/>
    <w:rsid w:val="00E943E5"/>
    <w:rsid w:val="00E9585B"/>
    <w:rsid w:val="00E9683C"/>
    <w:rsid w:val="00EA2809"/>
    <w:rsid w:val="00EA3790"/>
    <w:rsid w:val="00EA41E9"/>
    <w:rsid w:val="00EA5023"/>
    <w:rsid w:val="00EA5B58"/>
    <w:rsid w:val="00EA5E03"/>
    <w:rsid w:val="00EA5EC2"/>
    <w:rsid w:val="00EB00CD"/>
    <w:rsid w:val="00EB10CE"/>
    <w:rsid w:val="00EB1E4E"/>
    <w:rsid w:val="00EB2029"/>
    <w:rsid w:val="00EB3E0F"/>
    <w:rsid w:val="00EB7D48"/>
    <w:rsid w:val="00EC088D"/>
    <w:rsid w:val="00EC25A8"/>
    <w:rsid w:val="00EC3212"/>
    <w:rsid w:val="00EC34EA"/>
    <w:rsid w:val="00EC3B62"/>
    <w:rsid w:val="00EC6427"/>
    <w:rsid w:val="00ED1286"/>
    <w:rsid w:val="00ED1816"/>
    <w:rsid w:val="00ED3B0D"/>
    <w:rsid w:val="00ED55BB"/>
    <w:rsid w:val="00ED6001"/>
    <w:rsid w:val="00EE04D8"/>
    <w:rsid w:val="00EE1511"/>
    <w:rsid w:val="00EE1BF5"/>
    <w:rsid w:val="00EE1F4D"/>
    <w:rsid w:val="00EE38E9"/>
    <w:rsid w:val="00EE3ACD"/>
    <w:rsid w:val="00EE4881"/>
    <w:rsid w:val="00EE5E69"/>
    <w:rsid w:val="00EF26E7"/>
    <w:rsid w:val="00EF2F73"/>
    <w:rsid w:val="00EF3144"/>
    <w:rsid w:val="00EF4A1C"/>
    <w:rsid w:val="00EF750C"/>
    <w:rsid w:val="00F02F3F"/>
    <w:rsid w:val="00F04418"/>
    <w:rsid w:val="00F0622E"/>
    <w:rsid w:val="00F07D42"/>
    <w:rsid w:val="00F10592"/>
    <w:rsid w:val="00F1303C"/>
    <w:rsid w:val="00F134C8"/>
    <w:rsid w:val="00F16533"/>
    <w:rsid w:val="00F171D4"/>
    <w:rsid w:val="00F17AA1"/>
    <w:rsid w:val="00F17B22"/>
    <w:rsid w:val="00F2006C"/>
    <w:rsid w:val="00F2084D"/>
    <w:rsid w:val="00F21D87"/>
    <w:rsid w:val="00F22685"/>
    <w:rsid w:val="00F246ED"/>
    <w:rsid w:val="00F24CF7"/>
    <w:rsid w:val="00F25BB4"/>
    <w:rsid w:val="00F2752F"/>
    <w:rsid w:val="00F32452"/>
    <w:rsid w:val="00F32701"/>
    <w:rsid w:val="00F33217"/>
    <w:rsid w:val="00F33996"/>
    <w:rsid w:val="00F376F6"/>
    <w:rsid w:val="00F40757"/>
    <w:rsid w:val="00F42317"/>
    <w:rsid w:val="00F42371"/>
    <w:rsid w:val="00F43393"/>
    <w:rsid w:val="00F44F66"/>
    <w:rsid w:val="00F4523A"/>
    <w:rsid w:val="00F45E38"/>
    <w:rsid w:val="00F468F5"/>
    <w:rsid w:val="00F50A4C"/>
    <w:rsid w:val="00F50EA9"/>
    <w:rsid w:val="00F53647"/>
    <w:rsid w:val="00F5519A"/>
    <w:rsid w:val="00F55646"/>
    <w:rsid w:val="00F55A01"/>
    <w:rsid w:val="00F604DE"/>
    <w:rsid w:val="00F612E4"/>
    <w:rsid w:val="00F627D8"/>
    <w:rsid w:val="00F62A33"/>
    <w:rsid w:val="00F64622"/>
    <w:rsid w:val="00F67B58"/>
    <w:rsid w:val="00F74211"/>
    <w:rsid w:val="00F74D0B"/>
    <w:rsid w:val="00F757F1"/>
    <w:rsid w:val="00F75B76"/>
    <w:rsid w:val="00F7670E"/>
    <w:rsid w:val="00F84389"/>
    <w:rsid w:val="00F9199C"/>
    <w:rsid w:val="00F952DD"/>
    <w:rsid w:val="00FA0633"/>
    <w:rsid w:val="00FA09E3"/>
    <w:rsid w:val="00FA1276"/>
    <w:rsid w:val="00FA1C1D"/>
    <w:rsid w:val="00FA343B"/>
    <w:rsid w:val="00FA3B79"/>
    <w:rsid w:val="00FB057B"/>
    <w:rsid w:val="00FB1729"/>
    <w:rsid w:val="00FB3259"/>
    <w:rsid w:val="00FB42EC"/>
    <w:rsid w:val="00FB5A64"/>
    <w:rsid w:val="00FB6CC3"/>
    <w:rsid w:val="00FB7167"/>
    <w:rsid w:val="00FB7968"/>
    <w:rsid w:val="00FB7F5C"/>
    <w:rsid w:val="00FB7FFB"/>
    <w:rsid w:val="00FC0C4B"/>
    <w:rsid w:val="00FC150C"/>
    <w:rsid w:val="00FC2484"/>
    <w:rsid w:val="00FC2752"/>
    <w:rsid w:val="00FC38FE"/>
    <w:rsid w:val="00FC4425"/>
    <w:rsid w:val="00FC52AA"/>
    <w:rsid w:val="00FC57C5"/>
    <w:rsid w:val="00FC59F9"/>
    <w:rsid w:val="00FC5B0A"/>
    <w:rsid w:val="00FD16B2"/>
    <w:rsid w:val="00FD1CCE"/>
    <w:rsid w:val="00FD2CFD"/>
    <w:rsid w:val="00FD3734"/>
    <w:rsid w:val="00FD51C5"/>
    <w:rsid w:val="00FD5928"/>
    <w:rsid w:val="00FD63F3"/>
    <w:rsid w:val="00FD6720"/>
    <w:rsid w:val="00FD7467"/>
    <w:rsid w:val="00FE09B4"/>
    <w:rsid w:val="00FE14D5"/>
    <w:rsid w:val="00FE31FC"/>
    <w:rsid w:val="00FE4EB7"/>
    <w:rsid w:val="00FE65E6"/>
    <w:rsid w:val="00FF0AF7"/>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13675121">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47298946">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B416-44A4-40C9-8858-3AFC2DCA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64</TotalTime>
  <Pages>21</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39038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Lee, Kate</cp:lastModifiedBy>
  <cp:revision>14</cp:revision>
  <cp:lastPrinted>2016-11-14T11:32:00Z</cp:lastPrinted>
  <dcterms:created xsi:type="dcterms:W3CDTF">2017-01-04T17:27:00Z</dcterms:created>
  <dcterms:modified xsi:type="dcterms:W3CDTF">2017-01-06T08:49:00Z</dcterms:modified>
</cp:coreProperties>
</file>